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59BE0">
      <w:pPr>
        <w:widowControl w:val="0"/>
        <w:spacing w:after="0" w:line="560" w:lineRule="exact"/>
        <w:jc w:val="both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</w:t>
      </w:r>
    </w:p>
    <w:p w14:paraId="4F6B2FA3">
      <w:pPr>
        <w:widowControl w:val="0"/>
        <w:spacing w:after="0" w:line="560" w:lineRule="exact"/>
        <w:jc w:val="center"/>
        <w:rPr>
          <w:rFonts w:hint="eastAsia" w:ascii="方正小标宋_GBK" w:hAnsi="等线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等线" w:eastAsia="方正小标宋_GBK" w:cs="Times New Roman"/>
          <w:sz w:val="44"/>
          <w:szCs w:val="44"/>
          <w:lang w:val="en-US" w:eastAsia="zh-CN"/>
        </w:rPr>
        <w:t>青岛市企业应急引导基金服务体系</w:t>
      </w:r>
    </w:p>
    <w:p w14:paraId="31927D8E">
      <w:pPr>
        <w:widowControl w:val="0"/>
        <w:spacing w:after="0" w:line="560" w:lineRule="exact"/>
        <w:jc w:val="center"/>
        <w:rPr>
          <w:rFonts w:hint="eastAsia" w:ascii="方正小标宋_GBK" w:hAnsi="等线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等线" w:eastAsia="方正小标宋_GBK" w:cs="Times New Roman"/>
          <w:sz w:val="44"/>
          <w:szCs w:val="44"/>
          <w:lang w:val="en-US" w:eastAsia="zh-CN"/>
        </w:rPr>
        <w:t>2025年第一批备案机构名单</w:t>
      </w:r>
    </w:p>
    <w:bookmarkEnd w:id="0"/>
    <w:p w14:paraId="540BB24F">
      <w:pPr>
        <w:keepNext w:val="0"/>
        <w:keepLines w:val="0"/>
        <w:pageBreakBefore w:val="0"/>
        <w:widowControl w:val="0"/>
        <w:spacing w:after="0" w:line="240" w:lineRule="auto"/>
        <w:jc w:val="center"/>
        <w:rPr>
          <w:rFonts w:hint="eastAsia" w:ascii="仿宋_GB2312" w:hAnsi="等线" w:eastAsia="仿宋_GB2312" w:cs="Times New Roman"/>
          <w:color w:val="000000"/>
          <w:sz w:val="32"/>
          <w:szCs w:val="32"/>
          <w:lang w:val="en-US" w:eastAsia="zh-CN"/>
        </w:rPr>
      </w:pPr>
    </w:p>
    <w:p w14:paraId="71FF91C5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（排名不分先后）</w:t>
      </w:r>
    </w:p>
    <w:p w14:paraId="0FEBC328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青岛元通投资有限公司</w:t>
      </w:r>
    </w:p>
    <w:p w14:paraId="663C009F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正合顺（青岛）投资发展有限公司</w:t>
      </w:r>
    </w:p>
    <w:p w14:paraId="68FD3AD0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青岛拓达畅行投资有限公司</w:t>
      </w:r>
    </w:p>
    <w:p w14:paraId="52301FC9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青岛汇德润投资咨询管理有限公司</w:t>
      </w:r>
    </w:p>
    <w:p w14:paraId="567F28DF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山东融越网络小额贷款有限公司</w:t>
      </w:r>
    </w:p>
    <w:p w14:paraId="335029A1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青岛市人力资源集团有限公司</w:t>
      </w:r>
    </w:p>
    <w:p w14:paraId="60BADDB6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青岛惠丰金投投资中心（有限合伙）</w:t>
      </w:r>
    </w:p>
    <w:p w14:paraId="49333765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青岛立辰汇融企业管理有限公司</w:t>
      </w:r>
    </w:p>
    <w:p w14:paraId="0E473E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8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hint="default" w:asciiTheme="minorHAnsi" w:hAnsiTheme="minorHAnsi" w:eastAsiaTheme="minorHAnsi" w:cstheme="minorBidi"/>
      <w:sz w:val="22"/>
      <w:szCs w:val="22"/>
      <w:lang w:val="zh-Han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2025-03-26T07:41:03Z</dcterms:created>
  <dc:creator>Admin</dc:creator>
  <cp:lastModifiedBy>林子</cp:lastModifiedBy>
  <dcterms:modified xsi:type="dcterms:W3CDTF">2025-03-26T07:42:34Z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93FE23B02E00420C8A0165C615C2A379_12</vt:lpwstr>
  </property>
</Properties>
</file>