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71338">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 xml:space="preserve"> </w:t>
      </w:r>
      <w:r>
        <w:rPr>
          <w:rFonts w:ascii="仿宋_GB2312" w:hAnsi="仿宋_GB2312" w:eastAsia="仿宋_GB2312" w:cs="仿宋_GB2312"/>
          <w:highlight w:val="none"/>
        </w:rPr>
        <w:t xml:space="preserve">  </w:t>
      </w:r>
    </w:p>
    <w:p w14:paraId="2252D565">
      <w:pPr>
        <w:rPr>
          <w:rFonts w:hint="eastAsia" w:ascii="仿宋_GB2312" w:hAnsi="仿宋_GB2312" w:eastAsia="仿宋_GB2312" w:cs="仿宋_GB2312"/>
          <w:highlight w:val="none"/>
        </w:rPr>
      </w:pPr>
    </w:p>
    <w:p w14:paraId="5A470017">
      <w:pPr>
        <w:rPr>
          <w:rFonts w:hint="eastAsia" w:ascii="仿宋_GB2312" w:hAnsi="仿宋_GB2312" w:eastAsia="仿宋_GB2312" w:cs="仿宋_GB2312"/>
          <w:highlight w:val="none"/>
        </w:rPr>
      </w:pPr>
    </w:p>
    <w:p w14:paraId="224C753E">
      <w:pPr>
        <w:rPr>
          <w:rFonts w:hint="eastAsia" w:ascii="仿宋_GB2312" w:hAnsi="仿宋_GB2312" w:eastAsia="仿宋_GB2312" w:cs="仿宋_GB2312"/>
          <w:highlight w:val="none"/>
        </w:rPr>
      </w:pPr>
    </w:p>
    <w:p w14:paraId="6F8B559F">
      <w:pPr>
        <w:rPr>
          <w:rFonts w:hint="eastAsia" w:ascii="仿宋_GB2312" w:hAnsi="仿宋_GB2312" w:eastAsia="仿宋_GB2312" w:cs="仿宋_GB2312"/>
          <w:highlight w:val="none"/>
        </w:rPr>
      </w:pPr>
    </w:p>
    <w:p w14:paraId="0D543B59">
      <w:pPr>
        <w:ind w:firstLine="435"/>
        <w:rPr>
          <w:rFonts w:hint="eastAsia" w:ascii="仿宋_GB2312" w:hAnsi="仿宋_GB2312" w:eastAsia="仿宋_GB2312" w:cs="仿宋_GB2312"/>
          <w:highlight w:val="none"/>
        </w:rPr>
      </w:pPr>
    </w:p>
    <w:p w14:paraId="0B30B8FE">
      <w:pPr>
        <w:ind w:firstLine="435"/>
        <w:rPr>
          <w:rFonts w:hint="eastAsia" w:ascii="仿宋_GB2312" w:hAnsi="仿宋_GB2312" w:eastAsia="仿宋_GB2312" w:cs="仿宋_GB2312"/>
          <w:highlight w:val="none"/>
        </w:rPr>
      </w:pPr>
    </w:p>
    <w:p w14:paraId="4CC257AB">
      <w:pPr>
        <w:ind w:firstLine="435"/>
        <w:rPr>
          <w:rFonts w:hint="eastAsia" w:ascii="仿宋_GB2312" w:hAnsi="仿宋_GB2312" w:eastAsia="仿宋_GB2312" w:cs="仿宋_GB2312"/>
          <w:highlight w:val="none"/>
        </w:rPr>
      </w:pPr>
    </w:p>
    <w:p w14:paraId="3DF262D8">
      <w:pPr>
        <w:jc w:val="center"/>
        <w:rPr>
          <w:rFonts w:hint="eastAsia" w:ascii="仿宋_GB2312" w:hAnsi="仿宋_GB2312" w:eastAsia="仿宋_GB2312" w:cs="仿宋_GB2312"/>
          <w:sz w:val="40"/>
          <w:szCs w:val="40"/>
          <w:highlight w:val="none"/>
        </w:rPr>
      </w:pPr>
      <w:r>
        <w:rPr>
          <w:rFonts w:hint="eastAsia" w:ascii="仿宋_GB2312" w:hAnsi="仿宋_GB2312" w:eastAsia="仿宋_GB2312" w:cs="仿宋_GB2312"/>
          <w:sz w:val="40"/>
          <w:szCs w:val="40"/>
          <w:highlight w:val="none"/>
          <w:u w:val="single"/>
        </w:rPr>
        <w:t>楼山创忆空间（一期）——1#筒仓项目倾斜监测</w:t>
      </w:r>
    </w:p>
    <w:p w14:paraId="101E8473">
      <w:pPr>
        <w:jc w:val="center"/>
        <w:rPr>
          <w:rFonts w:hint="eastAsia" w:ascii="仿宋_GB2312" w:hAnsi="仿宋_GB2312" w:eastAsia="仿宋_GB2312" w:cs="仿宋_GB2312"/>
          <w:sz w:val="48"/>
          <w:szCs w:val="48"/>
          <w:highlight w:val="none"/>
        </w:rPr>
      </w:pPr>
      <w:r>
        <w:rPr>
          <w:rFonts w:hint="eastAsia" w:ascii="仿宋_GB2312" w:hAnsi="仿宋_GB2312" w:eastAsia="仿宋_GB2312" w:cs="仿宋_GB2312"/>
          <w:sz w:val="48"/>
          <w:szCs w:val="48"/>
          <w:highlight w:val="none"/>
        </w:rPr>
        <w:t xml:space="preserve"> </w:t>
      </w:r>
    </w:p>
    <w:p w14:paraId="7CFA90CF">
      <w:pPr>
        <w:jc w:val="center"/>
        <w:rPr>
          <w:rFonts w:hint="eastAsia" w:ascii="仿宋_GB2312" w:hAnsi="仿宋_GB2312" w:eastAsia="仿宋_GB2312" w:cs="仿宋_GB2312"/>
          <w:b/>
          <w:sz w:val="72"/>
          <w:szCs w:val="72"/>
          <w:highlight w:val="none"/>
        </w:rPr>
      </w:pPr>
      <w:r>
        <w:rPr>
          <w:rFonts w:hint="eastAsia" w:ascii="仿宋_GB2312" w:hAnsi="仿宋_GB2312" w:eastAsia="仿宋_GB2312" w:cs="仿宋_GB2312"/>
          <w:b/>
          <w:sz w:val="72"/>
          <w:szCs w:val="72"/>
          <w:highlight w:val="none"/>
        </w:rPr>
        <w:t>服务类竞争性谈判文件</w:t>
      </w:r>
    </w:p>
    <w:p w14:paraId="62308D8B">
      <w:pPr>
        <w:ind w:firstLine="435"/>
        <w:jc w:val="center"/>
        <w:rPr>
          <w:rFonts w:hint="eastAsia" w:ascii="仿宋_GB2312" w:hAnsi="仿宋_GB2312" w:eastAsia="仿宋_GB2312" w:cs="仿宋_GB2312"/>
          <w:sz w:val="44"/>
          <w:szCs w:val="44"/>
          <w:highlight w:val="none"/>
        </w:rPr>
      </w:pPr>
      <w:r>
        <w:rPr>
          <w:rFonts w:hint="eastAsia" w:ascii="仿宋_GB2312" w:hAnsi="仿宋_GB2312" w:eastAsia="仿宋_GB2312" w:cs="仿宋_GB2312"/>
          <w:sz w:val="44"/>
          <w:szCs w:val="44"/>
          <w:highlight w:val="none"/>
        </w:rPr>
        <w:t xml:space="preserve"> </w:t>
      </w:r>
    </w:p>
    <w:p w14:paraId="25B9F9BF">
      <w:pPr>
        <w:ind w:firstLine="435"/>
        <w:jc w:val="center"/>
        <w:rPr>
          <w:rFonts w:hint="eastAsia" w:ascii="仿宋_GB2312" w:hAnsi="仿宋_GB2312" w:eastAsia="仿宋_GB2312" w:cs="仿宋_GB2312"/>
          <w:highlight w:val="none"/>
        </w:rPr>
      </w:pPr>
    </w:p>
    <w:p w14:paraId="50D72907">
      <w:pPr>
        <w:ind w:firstLine="435"/>
        <w:jc w:val="center"/>
        <w:rPr>
          <w:rFonts w:hint="eastAsia" w:ascii="仿宋_GB2312" w:hAnsi="仿宋_GB2312" w:eastAsia="仿宋_GB2312" w:cs="仿宋_GB2312"/>
          <w:highlight w:val="none"/>
        </w:rPr>
      </w:pPr>
    </w:p>
    <w:p w14:paraId="5C413CB7">
      <w:pPr>
        <w:ind w:firstLine="435"/>
        <w:jc w:val="center"/>
        <w:rPr>
          <w:rFonts w:hint="eastAsia" w:ascii="仿宋_GB2312" w:hAnsi="仿宋_GB2312" w:eastAsia="仿宋_GB2312" w:cs="仿宋_GB2312"/>
          <w:highlight w:val="none"/>
        </w:rPr>
      </w:pPr>
    </w:p>
    <w:p w14:paraId="6447E449">
      <w:pPr>
        <w:ind w:firstLine="435"/>
        <w:jc w:val="center"/>
        <w:rPr>
          <w:rFonts w:hint="eastAsia" w:ascii="仿宋_GB2312" w:hAnsi="仿宋_GB2312" w:eastAsia="仿宋_GB2312" w:cs="仿宋_GB2312"/>
          <w:highlight w:val="none"/>
        </w:rPr>
      </w:pPr>
    </w:p>
    <w:p w14:paraId="3C2C7609">
      <w:pPr>
        <w:ind w:firstLine="435"/>
        <w:jc w:val="center"/>
        <w:rPr>
          <w:rFonts w:hint="eastAsia" w:ascii="仿宋_GB2312" w:hAnsi="仿宋_GB2312" w:eastAsia="仿宋_GB2312" w:cs="仿宋_GB2312"/>
          <w:highlight w:val="none"/>
        </w:rPr>
      </w:pPr>
    </w:p>
    <w:p w14:paraId="43836224">
      <w:pPr>
        <w:ind w:firstLine="435"/>
        <w:jc w:val="center"/>
        <w:rPr>
          <w:rFonts w:hint="eastAsia" w:ascii="仿宋_GB2312" w:hAnsi="仿宋_GB2312" w:eastAsia="仿宋_GB2312" w:cs="仿宋_GB2312"/>
          <w:highlight w:val="none"/>
        </w:rPr>
      </w:pPr>
    </w:p>
    <w:p w14:paraId="209A2980">
      <w:pPr>
        <w:ind w:firstLine="435"/>
        <w:jc w:val="center"/>
        <w:rPr>
          <w:rFonts w:hint="eastAsia" w:ascii="仿宋_GB2312" w:hAnsi="仿宋_GB2312" w:eastAsia="仿宋_GB2312" w:cs="仿宋_GB2312"/>
          <w:highlight w:val="none"/>
        </w:rPr>
      </w:pPr>
    </w:p>
    <w:p w14:paraId="3D9D996E">
      <w:pPr>
        <w:ind w:firstLine="720"/>
        <w:jc w:val="center"/>
        <w:rPr>
          <w:rFonts w:hint="eastAsia" w:ascii="仿宋_GB2312" w:hAnsi="仿宋_GB2312" w:eastAsia="仿宋_GB2312" w:cs="仿宋_GB2312"/>
          <w:highlight w:val="none"/>
        </w:rPr>
      </w:pPr>
    </w:p>
    <w:p w14:paraId="07242CD6">
      <w:pPr>
        <w:ind w:firstLine="435"/>
        <w:jc w:val="center"/>
        <w:rPr>
          <w:rFonts w:hint="eastAsia" w:ascii="仿宋_GB2312" w:hAnsi="仿宋_GB2312" w:eastAsia="仿宋_GB2312" w:cs="仿宋_GB2312"/>
          <w:highlight w:val="none"/>
        </w:rPr>
      </w:pPr>
    </w:p>
    <w:p w14:paraId="38B634C4">
      <w:pPr>
        <w:ind w:firstLine="435"/>
        <w:jc w:val="center"/>
        <w:rPr>
          <w:rFonts w:hint="eastAsia" w:ascii="仿宋_GB2312" w:hAnsi="仿宋_GB2312" w:eastAsia="仿宋_GB2312" w:cs="仿宋_GB2312"/>
          <w:highlight w:val="none"/>
        </w:rPr>
      </w:pPr>
    </w:p>
    <w:p w14:paraId="2E6EE623">
      <w:pPr>
        <w:ind w:firstLine="435"/>
        <w:jc w:val="center"/>
        <w:rPr>
          <w:rFonts w:hint="eastAsia" w:ascii="仿宋_GB2312" w:hAnsi="仿宋_GB2312" w:eastAsia="仿宋_GB2312" w:cs="仿宋_GB2312"/>
          <w:highlight w:val="none"/>
        </w:rPr>
      </w:pPr>
    </w:p>
    <w:p w14:paraId="1B33B645">
      <w:pPr>
        <w:ind w:firstLine="435"/>
        <w:jc w:val="center"/>
        <w:rPr>
          <w:rFonts w:hint="eastAsia" w:ascii="仿宋_GB2312" w:hAnsi="仿宋_GB2312" w:eastAsia="仿宋_GB2312" w:cs="仿宋_GB2312"/>
          <w:highlight w:val="none"/>
        </w:rPr>
      </w:pPr>
    </w:p>
    <w:p w14:paraId="45690695">
      <w:pPr>
        <w:ind w:firstLine="435"/>
        <w:jc w:val="center"/>
        <w:rPr>
          <w:rFonts w:hint="eastAsia" w:ascii="仿宋_GB2312" w:hAnsi="仿宋_GB2312" w:eastAsia="仿宋_GB2312" w:cs="仿宋_GB2312"/>
          <w:highlight w:val="none"/>
        </w:rPr>
      </w:pPr>
    </w:p>
    <w:p w14:paraId="37ABF506">
      <w:pPr>
        <w:ind w:firstLine="1257" w:firstLineChars="393"/>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采   购   人：</w:t>
      </w:r>
      <w:r>
        <w:rPr>
          <w:rFonts w:hint="eastAsia" w:ascii="仿宋_GB2312" w:hAnsi="仿宋_GB2312" w:eastAsia="仿宋_GB2312" w:cs="仿宋_GB2312"/>
          <w:sz w:val="32"/>
          <w:szCs w:val="32"/>
          <w:highlight w:val="none"/>
          <w:u w:val="single"/>
        </w:rPr>
        <w:t>青岛财通城市更新有限公司</w:t>
      </w:r>
    </w:p>
    <w:p w14:paraId="4CF588F4">
      <w:pPr>
        <w:ind w:firstLine="1257" w:firstLineChars="393"/>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日        期：</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 xml:space="preserve"> 月</w:t>
      </w:r>
      <w:r>
        <w:rPr>
          <w:rFonts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日</w:t>
      </w:r>
    </w:p>
    <w:p w14:paraId="6C50E4FE">
      <w:pPr>
        <w:spacing w:line="300" w:lineRule="auto"/>
        <w:ind w:firstLine="1242" w:firstLineChars="654"/>
        <w:rPr>
          <w:rFonts w:hint="eastAsia" w:ascii="仿宋_GB2312" w:hAnsi="仿宋_GB2312" w:eastAsia="仿宋_GB2312" w:cs="仿宋_GB2312"/>
          <w:sz w:val="19"/>
          <w:highlight w:val="none"/>
        </w:rPr>
        <w:sectPr>
          <w:footerReference r:id="rId4" w:type="first"/>
          <w:headerReference r:id="rId3" w:type="default"/>
          <w:pgSz w:w="11906" w:h="16838"/>
          <w:pgMar w:top="1418" w:right="1418" w:bottom="1418" w:left="1418" w:header="851" w:footer="992" w:gutter="0"/>
          <w:cols w:space="720" w:num="1"/>
          <w:docGrid w:type="lines" w:linePitch="312" w:charSpace="0"/>
        </w:sectPr>
      </w:pPr>
    </w:p>
    <w:p w14:paraId="27B8B1B7">
      <w:pPr>
        <w:spacing w:line="300" w:lineRule="auto"/>
        <w:jc w:val="center"/>
        <w:rPr>
          <w:rFonts w:hint="eastAsia" w:ascii="仿宋_GB2312" w:hAnsi="仿宋_GB2312" w:eastAsia="仿宋_GB2312" w:cs="仿宋_GB2312"/>
          <w:sz w:val="26"/>
          <w:szCs w:val="28"/>
          <w:highlight w:val="none"/>
        </w:rPr>
      </w:pPr>
      <w:r>
        <w:rPr>
          <w:rFonts w:hint="eastAsia" w:ascii="仿宋_GB2312" w:hAnsi="仿宋_GB2312" w:eastAsia="仿宋_GB2312" w:cs="仿宋_GB2312"/>
          <w:sz w:val="26"/>
          <w:szCs w:val="28"/>
          <w:highlight w:val="none"/>
        </w:rPr>
        <w:t>目  录</w:t>
      </w:r>
    </w:p>
    <w:p w14:paraId="6F501247">
      <w:pPr>
        <w:pStyle w:val="6"/>
        <w:tabs>
          <w:tab w:val="right" w:leader="dot" w:pos="9060"/>
        </w:tabs>
        <w:ind w:left="420"/>
        <w:rPr>
          <w:rFonts w:hint="eastAsia" w:ascii="仿宋_GB2312" w:hAnsi="仿宋_GB2312" w:eastAsia="仿宋_GB2312" w:cs="仿宋_GB2312"/>
          <w:highlight w:val="none"/>
        </w:rPr>
      </w:pPr>
      <w:r>
        <w:rPr>
          <w:rFonts w:hint="eastAsia" w:ascii="仿宋_GB2312" w:hAnsi="仿宋_GB2312" w:eastAsia="仿宋_GB2312" w:cs="仿宋_GB2312"/>
          <w:sz w:val="18"/>
          <w:highlight w:val="none"/>
        </w:rPr>
        <w:fldChar w:fldCharType="begin"/>
      </w:r>
      <w:r>
        <w:rPr>
          <w:rFonts w:hint="eastAsia" w:ascii="仿宋_GB2312" w:hAnsi="仿宋_GB2312" w:eastAsia="仿宋_GB2312" w:cs="仿宋_GB2312"/>
          <w:sz w:val="18"/>
          <w:highlight w:val="none"/>
        </w:rPr>
        <w:instrText xml:space="preserve"> TOC \o "1-3" \h \z \u </w:instrText>
      </w:r>
      <w:r>
        <w:rPr>
          <w:rFonts w:hint="eastAsia" w:ascii="仿宋_GB2312" w:hAnsi="仿宋_GB2312" w:eastAsia="仿宋_GB2312" w:cs="仿宋_GB2312"/>
          <w:sz w:val="18"/>
          <w:highlight w:val="none"/>
        </w:rPr>
        <w:fldChar w:fldCharType="separate"/>
      </w:r>
      <w:r>
        <w:rPr>
          <w:highlight w:val="none"/>
        </w:rPr>
        <w:fldChar w:fldCharType="begin"/>
      </w:r>
      <w:r>
        <w:rPr>
          <w:highlight w:val="none"/>
        </w:rPr>
        <w:instrText xml:space="preserve"> HYPERLINK \l "_Toc126742724" </w:instrText>
      </w:r>
      <w:r>
        <w:rPr>
          <w:highlight w:val="none"/>
        </w:rPr>
        <w:fldChar w:fldCharType="separate"/>
      </w:r>
      <w:r>
        <w:rPr>
          <w:rStyle w:val="13"/>
          <w:rFonts w:hint="eastAsia" w:ascii="仿宋_GB2312" w:hAnsi="仿宋_GB2312" w:eastAsia="仿宋_GB2312" w:cs="仿宋_GB2312"/>
          <w:highlight w:val="none"/>
        </w:rPr>
        <w:t>第一章  竞争性谈判邀请书</w:t>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rPr>
        <w:instrText xml:space="preserve"> PAGEREF _Toc126742724 \h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highlight w:val="none"/>
        </w:rPr>
        <w:t>2</w:t>
      </w:r>
      <w:r>
        <w:rPr>
          <w:rFonts w:hint="eastAsia" w:ascii="仿宋_GB2312" w:hAnsi="仿宋_GB2312" w:eastAsia="仿宋_GB2312" w:cs="仿宋_GB2312"/>
          <w:highlight w:val="none"/>
        </w:rPr>
        <w:fldChar w:fldCharType="end"/>
      </w:r>
      <w:r>
        <w:rPr>
          <w:rFonts w:hint="eastAsia" w:ascii="仿宋_GB2312" w:hAnsi="仿宋_GB2312" w:eastAsia="仿宋_GB2312" w:cs="仿宋_GB2312"/>
          <w:highlight w:val="none"/>
        </w:rPr>
        <w:fldChar w:fldCharType="end"/>
      </w:r>
    </w:p>
    <w:p w14:paraId="58648FF0">
      <w:pPr>
        <w:pStyle w:val="6"/>
        <w:tabs>
          <w:tab w:val="right" w:leader="dot" w:pos="9060"/>
        </w:tabs>
        <w:ind w:left="420"/>
        <w:rPr>
          <w:rFonts w:hint="eastAsia" w:ascii="仿宋_GB2312" w:hAnsi="仿宋_GB2312" w:eastAsia="仿宋_GB2312" w:cs="仿宋_GB2312"/>
          <w:highlight w:val="none"/>
        </w:rPr>
      </w:pPr>
      <w:r>
        <w:rPr>
          <w:highlight w:val="none"/>
        </w:rPr>
        <w:fldChar w:fldCharType="begin"/>
      </w:r>
      <w:r>
        <w:rPr>
          <w:highlight w:val="none"/>
        </w:rPr>
        <w:instrText xml:space="preserve"> HYPERLINK \l "_Toc126742725" </w:instrText>
      </w:r>
      <w:r>
        <w:rPr>
          <w:highlight w:val="none"/>
        </w:rPr>
        <w:fldChar w:fldCharType="separate"/>
      </w:r>
      <w:r>
        <w:rPr>
          <w:rStyle w:val="13"/>
          <w:rFonts w:hint="eastAsia" w:ascii="仿宋_GB2312" w:hAnsi="仿宋_GB2312" w:eastAsia="仿宋_GB2312" w:cs="仿宋_GB2312"/>
          <w:highlight w:val="none"/>
        </w:rPr>
        <w:t>第二章  供应商须知前附表</w:t>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t>5</w:t>
      </w:r>
      <w:r>
        <w:rPr>
          <w:rFonts w:hint="eastAsia" w:ascii="仿宋_GB2312" w:hAnsi="仿宋_GB2312" w:eastAsia="仿宋_GB2312" w:cs="仿宋_GB2312"/>
          <w:highlight w:val="none"/>
        </w:rPr>
        <w:fldChar w:fldCharType="end"/>
      </w:r>
    </w:p>
    <w:p w14:paraId="0B68769B">
      <w:pPr>
        <w:pStyle w:val="6"/>
        <w:tabs>
          <w:tab w:val="right" w:leader="dot" w:pos="9060"/>
        </w:tabs>
        <w:ind w:left="420"/>
        <w:rPr>
          <w:rFonts w:hint="eastAsia" w:ascii="仿宋_GB2312" w:hAnsi="仿宋_GB2312" w:eastAsia="仿宋_GB2312" w:cs="仿宋_GB2312"/>
          <w:highlight w:val="none"/>
        </w:rPr>
      </w:pPr>
      <w:r>
        <w:rPr>
          <w:highlight w:val="none"/>
        </w:rPr>
        <w:fldChar w:fldCharType="begin"/>
      </w:r>
      <w:r>
        <w:rPr>
          <w:highlight w:val="none"/>
        </w:rPr>
        <w:instrText xml:space="preserve"> HYPERLINK \l "_Toc126742726" </w:instrText>
      </w:r>
      <w:r>
        <w:rPr>
          <w:highlight w:val="none"/>
        </w:rPr>
        <w:fldChar w:fldCharType="separate"/>
      </w:r>
      <w:r>
        <w:rPr>
          <w:rStyle w:val="13"/>
          <w:rFonts w:hint="eastAsia" w:ascii="仿宋_GB2312" w:hAnsi="仿宋_GB2312" w:eastAsia="仿宋_GB2312" w:cs="仿宋_GB2312"/>
          <w:highlight w:val="none"/>
        </w:rPr>
        <w:t>第三章  供应商应当提交的资格、资信等证明文件</w:t>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t>8</w:t>
      </w:r>
      <w:r>
        <w:rPr>
          <w:rFonts w:hint="eastAsia" w:ascii="仿宋_GB2312" w:hAnsi="仿宋_GB2312" w:eastAsia="仿宋_GB2312" w:cs="仿宋_GB2312"/>
          <w:highlight w:val="none"/>
        </w:rPr>
        <w:fldChar w:fldCharType="end"/>
      </w:r>
    </w:p>
    <w:p w14:paraId="4CEFB0F8">
      <w:pPr>
        <w:pStyle w:val="6"/>
        <w:tabs>
          <w:tab w:val="right" w:leader="dot" w:pos="9060"/>
        </w:tabs>
        <w:ind w:left="420"/>
        <w:rPr>
          <w:rFonts w:hint="eastAsia" w:ascii="仿宋_GB2312" w:hAnsi="仿宋_GB2312" w:eastAsia="仿宋_GB2312" w:cs="仿宋_GB2312"/>
          <w:highlight w:val="none"/>
        </w:rPr>
      </w:pPr>
      <w:r>
        <w:rPr>
          <w:highlight w:val="none"/>
        </w:rPr>
        <w:fldChar w:fldCharType="begin"/>
      </w:r>
      <w:r>
        <w:rPr>
          <w:highlight w:val="none"/>
        </w:rPr>
        <w:instrText xml:space="preserve"> HYPERLINK \l "_Toc126742727" </w:instrText>
      </w:r>
      <w:r>
        <w:rPr>
          <w:highlight w:val="none"/>
        </w:rPr>
        <w:fldChar w:fldCharType="separate"/>
      </w:r>
      <w:r>
        <w:rPr>
          <w:rStyle w:val="13"/>
          <w:rFonts w:hint="eastAsia" w:ascii="仿宋_GB2312" w:hAnsi="仿宋_GB2312" w:eastAsia="仿宋_GB2312" w:cs="仿宋_GB2312"/>
          <w:highlight w:val="none"/>
        </w:rPr>
        <w:t>第四章  采购需求</w:t>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t>9</w:t>
      </w:r>
      <w:r>
        <w:rPr>
          <w:rFonts w:hint="eastAsia" w:ascii="仿宋_GB2312" w:hAnsi="仿宋_GB2312" w:eastAsia="仿宋_GB2312" w:cs="仿宋_GB2312"/>
          <w:highlight w:val="none"/>
        </w:rPr>
        <w:fldChar w:fldCharType="end"/>
      </w:r>
    </w:p>
    <w:p w14:paraId="54FCDEDA">
      <w:pPr>
        <w:pStyle w:val="6"/>
        <w:tabs>
          <w:tab w:val="right" w:leader="dot" w:pos="9060"/>
        </w:tabs>
        <w:ind w:left="420"/>
        <w:rPr>
          <w:rFonts w:hint="eastAsia" w:ascii="仿宋_GB2312" w:hAnsi="仿宋_GB2312" w:eastAsia="仿宋_GB2312" w:cs="仿宋_GB2312"/>
          <w:highlight w:val="none"/>
        </w:rPr>
      </w:pPr>
      <w:r>
        <w:rPr>
          <w:highlight w:val="none"/>
        </w:rPr>
        <w:fldChar w:fldCharType="begin"/>
      </w:r>
      <w:r>
        <w:rPr>
          <w:highlight w:val="none"/>
        </w:rPr>
        <w:instrText xml:space="preserve"> HYPERLINK \l "_Toc126742731" </w:instrText>
      </w:r>
      <w:r>
        <w:rPr>
          <w:highlight w:val="none"/>
        </w:rPr>
        <w:fldChar w:fldCharType="separate"/>
      </w:r>
      <w:r>
        <w:rPr>
          <w:rStyle w:val="13"/>
          <w:rFonts w:hint="eastAsia" w:ascii="仿宋_GB2312" w:hAnsi="仿宋_GB2312" w:eastAsia="仿宋_GB2312" w:cs="仿宋_GB2312"/>
          <w:highlight w:val="none"/>
        </w:rPr>
        <w:t>第五章  供应商须知</w:t>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t>1</w:t>
      </w:r>
      <w:r>
        <w:rPr>
          <w:rFonts w:hint="eastAsia" w:ascii="仿宋_GB2312" w:hAnsi="仿宋_GB2312" w:eastAsia="仿宋_GB2312" w:cs="仿宋_GB2312"/>
          <w:highlight w:val="none"/>
        </w:rPr>
        <w:fldChar w:fldCharType="end"/>
      </w:r>
      <w:r>
        <w:rPr>
          <w:rStyle w:val="13"/>
          <w:rFonts w:hint="eastAsia" w:ascii="仿宋_GB2312" w:hAnsi="仿宋_GB2312" w:eastAsia="仿宋_GB2312" w:cs="仿宋_GB2312"/>
          <w:highlight w:val="none"/>
        </w:rPr>
        <w:t>0</w:t>
      </w:r>
    </w:p>
    <w:p w14:paraId="741512A7">
      <w:pPr>
        <w:pStyle w:val="6"/>
        <w:tabs>
          <w:tab w:val="right" w:leader="dot" w:pos="9060"/>
        </w:tabs>
        <w:ind w:left="420"/>
        <w:rPr>
          <w:rFonts w:hint="eastAsia" w:ascii="仿宋_GB2312" w:hAnsi="仿宋_GB2312" w:eastAsia="仿宋_GB2312" w:cs="仿宋_GB2312"/>
          <w:highlight w:val="none"/>
        </w:rPr>
      </w:pPr>
      <w:r>
        <w:rPr>
          <w:highlight w:val="none"/>
        </w:rPr>
        <w:fldChar w:fldCharType="begin"/>
      </w:r>
      <w:r>
        <w:rPr>
          <w:highlight w:val="none"/>
        </w:rPr>
        <w:instrText xml:space="preserve"> HYPERLINK \l "_Toc126742732" </w:instrText>
      </w:r>
      <w:r>
        <w:rPr>
          <w:highlight w:val="none"/>
        </w:rPr>
        <w:fldChar w:fldCharType="separate"/>
      </w:r>
      <w:r>
        <w:rPr>
          <w:rStyle w:val="13"/>
          <w:rFonts w:hint="eastAsia" w:ascii="仿宋_GB2312" w:hAnsi="仿宋_GB2312" w:eastAsia="仿宋_GB2312" w:cs="仿宋_GB2312"/>
          <w:highlight w:val="none"/>
        </w:rPr>
        <w:t>第六章  开标、谈判、成交及废标</w:t>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rPr>
        <w:instrText xml:space="preserve"> PAGEREF _Toc126742732 \h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highlight w:val="none"/>
        </w:rPr>
        <w:t>16</w:t>
      </w:r>
      <w:r>
        <w:rPr>
          <w:rFonts w:hint="eastAsia" w:ascii="仿宋_GB2312" w:hAnsi="仿宋_GB2312" w:eastAsia="仿宋_GB2312" w:cs="仿宋_GB2312"/>
          <w:highlight w:val="none"/>
        </w:rPr>
        <w:fldChar w:fldCharType="end"/>
      </w:r>
      <w:r>
        <w:rPr>
          <w:rFonts w:hint="eastAsia" w:ascii="仿宋_GB2312" w:hAnsi="仿宋_GB2312" w:eastAsia="仿宋_GB2312" w:cs="仿宋_GB2312"/>
          <w:highlight w:val="none"/>
        </w:rPr>
        <w:fldChar w:fldCharType="end"/>
      </w:r>
    </w:p>
    <w:p w14:paraId="10B52A22">
      <w:pPr>
        <w:pStyle w:val="6"/>
        <w:tabs>
          <w:tab w:val="right" w:leader="dot" w:pos="9060"/>
        </w:tabs>
        <w:ind w:left="420"/>
        <w:rPr>
          <w:rFonts w:hint="eastAsia" w:ascii="仿宋_GB2312" w:hAnsi="仿宋_GB2312" w:eastAsia="仿宋_GB2312" w:cs="仿宋_GB2312"/>
          <w:highlight w:val="none"/>
        </w:rPr>
      </w:pPr>
      <w:r>
        <w:rPr>
          <w:highlight w:val="none"/>
        </w:rPr>
        <w:fldChar w:fldCharType="begin"/>
      </w:r>
      <w:r>
        <w:rPr>
          <w:highlight w:val="none"/>
        </w:rPr>
        <w:instrText xml:space="preserve"> HYPERLINK \l "_Toc126742734" </w:instrText>
      </w:r>
      <w:r>
        <w:rPr>
          <w:highlight w:val="none"/>
        </w:rPr>
        <w:fldChar w:fldCharType="separate"/>
      </w:r>
      <w:r>
        <w:rPr>
          <w:rStyle w:val="13"/>
          <w:rFonts w:hint="eastAsia" w:ascii="仿宋_GB2312" w:hAnsi="仿宋_GB2312" w:eastAsia="仿宋_GB2312" w:cs="仿宋_GB2312"/>
          <w:highlight w:val="none"/>
        </w:rPr>
        <w:t>第七章  响应文件格式</w:t>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rPr>
        <w:instrText xml:space="preserve"> PAGEREF _Toc126742734 \h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highlight w:val="none"/>
        </w:rPr>
        <w:t>19</w:t>
      </w:r>
      <w:r>
        <w:rPr>
          <w:rFonts w:hint="eastAsia" w:ascii="仿宋_GB2312" w:hAnsi="仿宋_GB2312" w:eastAsia="仿宋_GB2312" w:cs="仿宋_GB2312"/>
          <w:highlight w:val="none"/>
        </w:rPr>
        <w:fldChar w:fldCharType="end"/>
      </w:r>
      <w:r>
        <w:rPr>
          <w:rFonts w:hint="eastAsia" w:ascii="仿宋_GB2312" w:hAnsi="仿宋_GB2312" w:eastAsia="仿宋_GB2312" w:cs="仿宋_GB2312"/>
          <w:highlight w:val="none"/>
        </w:rPr>
        <w:fldChar w:fldCharType="end"/>
      </w:r>
    </w:p>
    <w:p w14:paraId="0B741AE7">
      <w:pPr>
        <w:rPr>
          <w:rFonts w:hint="eastAsia" w:ascii="仿宋_GB2312" w:hAnsi="仿宋_GB2312" w:eastAsia="仿宋_GB2312" w:cs="仿宋_GB2312"/>
          <w:highlight w:val="none"/>
        </w:rPr>
      </w:pPr>
    </w:p>
    <w:p w14:paraId="06055D93">
      <w:pPr>
        <w:rPr>
          <w:rFonts w:hint="eastAsia" w:ascii="仿宋_GB2312" w:hAnsi="仿宋_GB2312" w:eastAsia="仿宋_GB2312" w:cs="仿宋_GB2312"/>
          <w:sz w:val="18"/>
          <w:highlight w:val="none"/>
        </w:rPr>
        <w:sectPr>
          <w:headerReference r:id="rId5" w:type="default"/>
          <w:footerReference r:id="rId6" w:type="default"/>
          <w:pgSz w:w="11906" w:h="16838"/>
          <w:pgMar w:top="1418" w:right="1418" w:bottom="1418" w:left="1418" w:header="851" w:footer="992" w:gutter="0"/>
          <w:pgNumType w:start="1"/>
          <w:cols w:space="720" w:num="1"/>
          <w:docGrid w:type="lines" w:linePitch="312" w:charSpace="0"/>
        </w:sectPr>
      </w:pPr>
      <w:r>
        <w:rPr>
          <w:rFonts w:hint="eastAsia" w:ascii="仿宋_GB2312" w:hAnsi="仿宋_GB2312" w:eastAsia="仿宋_GB2312" w:cs="仿宋_GB2312"/>
          <w:sz w:val="19"/>
          <w:highlight w:val="none"/>
        </w:rPr>
        <w:fldChar w:fldCharType="end"/>
      </w:r>
    </w:p>
    <w:p w14:paraId="6C0CBC64">
      <w:pPr>
        <w:spacing w:after="156" w:afterLines="50"/>
        <w:jc w:val="center"/>
        <w:outlineLvl w:val="1"/>
        <w:rPr>
          <w:rFonts w:hint="eastAsia" w:ascii="仿宋_GB2312" w:hAnsi="仿宋_GB2312" w:eastAsia="仿宋_GB2312" w:cs="仿宋_GB2312"/>
          <w:sz w:val="28"/>
          <w:szCs w:val="28"/>
          <w:highlight w:val="none"/>
        </w:rPr>
      </w:pPr>
      <w:bookmarkStart w:id="0" w:name="_Toc126742724"/>
      <w:r>
        <w:rPr>
          <w:rFonts w:hint="eastAsia" w:ascii="仿宋_GB2312" w:hAnsi="仿宋_GB2312" w:eastAsia="仿宋_GB2312" w:cs="仿宋_GB2312"/>
          <w:sz w:val="28"/>
          <w:szCs w:val="28"/>
          <w:highlight w:val="none"/>
        </w:rPr>
        <w:t>第一章  竞争性谈判</w:t>
      </w:r>
      <w:bookmarkEnd w:id="0"/>
      <w:r>
        <w:rPr>
          <w:rFonts w:hint="eastAsia" w:ascii="仿宋_GB2312" w:hAnsi="仿宋_GB2312" w:eastAsia="仿宋_GB2312" w:cs="仿宋_GB2312"/>
          <w:sz w:val="28"/>
          <w:szCs w:val="28"/>
          <w:highlight w:val="none"/>
        </w:rPr>
        <w:t>邀请书</w:t>
      </w:r>
    </w:p>
    <w:p w14:paraId="1D927F71">
      <w:pPr>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bCs/>
          <w:sz w:val="24"/>
          <w:szCs w:val="24"/>
          <w:highlight w:val="none"/>
          <w:u w:val="single"/>
        </w:rPr>
        <w:t>青岛财通城市更新有限公司</w:t>
      </w:r>
      <w:r>
        <w:rPr>
          <w:rFonts w:hint="eastAsia" w:ascii="仿宋_GB2312" w:hAnsi="仿宋_GB2312" w:eastAsia="仿宋_GB2312" w:cs="仿宋_GB2312"/>
          <w:sz w:val="24"/>
          <w:szCs w:val="24"/>
          <w:highlight w:val="none"/>
        </w:rPr>
        <w:t>对</w:t>
      </w:r>
      <w:r>
        <w:rPr>
          <w:rFonts w:hint="eastAsia" w:ascii="仿宋_GB2312" w:hAnsi="仿宋_GB2312" w:eastAsia="仿宋_GB2312" w:cs="仿宋_GB2312"/>
          <w:bCs/>
          <w:sz w:val="24"/>
          <w:szCs w:val="24"/>
          <w:highlight w:val="none"/>
          <w:u w:val="single"/>
          <w:lang w:val="en-US" w:eastAsia="zh-CN"/>
        </w:rPr>
        <w:t>楼山创忆空间（一期）——1#筒仓</w:t>
      </w:r>
      <w:r>
        <w:rPr>
          <w:rFonts w:hint="eastAsia" w:ascii="仿宋_GB2312" w:hAnsi="仿宋_GB2312" w:eastAsia="仿宋_GB2312" w:cs="仿宋_GB2312"/>
          <w:bCs/>
          <w:sz w:val="24"/>
          <w:szCs w:val="24"/>
          <w:highlight w:val="none"/>
          <w:u w:val="single"/>
        </w:rPr>
        <w:t>项目</w:t>
      </w:r>
      <w:r>
        <w:rPr>
          <w:rFonts w:hint="eastAsia" w:ascii="仿宋_GB2312" w:hAnsi="仿宋_GB2312" w:eastAsia="仿宋_GB2312" w:cs="仿宋_GB2312"/>
          <w:bCs/>
          <w:sz w:val="24"/>
          <w:szCs w:val="24"/>
          <w:highlight w:val="none"/>
          <w:u w:val="single"/>
          <w:lang w:val="en-US" w:eastAsia="zh-CN"/>
        </w:rPr>
        <w:t>倾斜</w:t>
      </w:r>
      <w:r>
        <w:rPr>
          <w:rFonts w:hint="eastAsia" w:ascii="仿宋_GB2312" w:hAnsi="仿宋_GB2312" w:eastAsia="仿宋_GB2312" w:cs="仿宋_GB2312"/>
          <w:bCs/>
          <w:sz w:val="24"/>
          <w:szCs w:val="24"/>
          <w:highlight w:val="none"/>
          <w:u w:val="single"/>
        </w:rPr>
        <w:t>监测服务单位</w:t>
      </w:r>
      <w:r>
        <w:rPr>
          <w:rFonts w:hint="eastAsia" w:ascii="仿宋_GB2312" w:hAnsi="仿宋_GB2312" w:eastAsia="仿宋_GB2312" w:cs="仿宋_GB2312"/>
          <w:sz w:val="24"/>
          <w:szCs w:val="24"/>
          <w:highlight w:val="none"/>
        </w:rPr>
        <w:t>以竞争性谈判的方式组织采购，欢迎符合条件的合格供应商参加谈判。</w:t>
      </w:r>
    </w:p>
    <w:p w14:paraId="09770C56">
      <w:pPr>
        <w:spacing w:line="360" w:lineRule="auto"/>
        <w:ind w:left="2239" w:leftChars="266" w:hanging="1680" w:hangingChars="600"/>
        <w:rPr>
          <w:rFonts w:hint="eastAsia" w:ascii="仿宋_GB2312" w:hAnsi="仿宋_GB2312" w:eastAsia="仿宋_GB2312" w:cs="仿宋_GB2312"/>
          <w:bCs/>
          <w:sz w:val="24"/>
          <w:szCs w:val="24"/>
          <w:highlight w:val="none"/>
          <w:u w:val="single"/>
        </w:rPr>
      </w:pPr>
      <w:r>
        <w:rPr>
          <w:rStyle w:val="14"/>
          <w:rFonts w:hint="eastAsia" w:ascii="仿宋_GB2312" w:hAnsi="仿宋_GB2312" w:eastAsia="仿宋_GB2312" w:cs="仿宋_GB2312"/>
          <w:highlight w:val="none"/>
        </w:rPr>
        <w:t>1.项目名称：</w:t>
      </w:r>
      <w:r>
        <w:rPr>
          <w:rFonts w:hint="eastAsia" w:ascii="仿宋_GB2312" w:hAnsi="仿宋_GB2312" w:eastAsia="仿宋_GB2312" w:cs="仿宋_GB2312"/>
          <w:bCs/>
          <w:sz w:val="24"/>
          <w:szCs w:val="24"/>
          <w:highlight w:val="none"/>
          <w:u w:val="single"/>
          <w:lang w:val="en-US" w:eastAsia="zh-CN"/>
        </w:rPr>
        <w:t>楼山创忆空间（一期）——1#筒仓项目倾斜监测</w:t>
      </w:r>
    </w:p>
    <w:p w14:paraId="65375B43">
      <w:pPr>
        <w:spacing w:line="360" w:lineRule="auto"/>
        <w:ind w:firstLine="480"/>
        <w:rPr>
          <w:rStyle w:val="14"/>
          <w:rFonts w:hint="eastAsia" w:ascii="仿宋_GB2312" w:hAnsi="仿宋_GB2312" w:eastAsia="仿宋_GB2312" w:cs="仿宋_GB2312"/>
          <w:highlight w:val="none"/>
        </w:rPr>
      </w:pPr>
      <w:r>
        <w:rPr>
          <w:rStyle w:val="14"/>
          <w:rFonts w:hint="eastAsia" w:ascii="仿宋_GB2312" w:hAnsi="仿宋_GB2312" w:eastAsia="仿宋_GB2312" w:cs="仿宋_GB2312"/>
          <w:highlight w:val="none"/>
        </w:rPr>
        <w:t>2</w:t>
      </w:r>
      <w:r>
        <w:rPr>
          <w:rStyle w:val="14"/>
          <w:rFonts w:ascii="仿宋_GB2312" w:hAnsi="仿宋_GB2312" w:eastAsia="仿宋_GB2312" w:cs="仿宋_GB2312"/>
          <w:highlight w:val="none"/>
        </w:rPr>
        <w:t>.</w:t>
      </w:r>
      <w:r>
        <w:rPr>
          <w:rStyle w:val="14"/>
          <w:rFonts w:hint="eastAsia" w:ascii="仿宋_GB2312" w:hAnsi="仿宋_GB2312" w:eastAsia="仿宋_GB2312" w:cs="仿宋_GB2312"/>
          <w:highlight w:val="none"/>
        </w:rPr>
        <w:t>项目概况：</w:t>
      </w:r>
    </w:p>
    <w:p w14:paraId="403AE9EB">
      <w:pPr>
        <w:ind w:firstLine="480" w:firstLineChars="20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筒仓</w:t>
      </w:r>
      <w:r>
        <w:rPr>
          <w:rFonts w:hint="eastAsia" w:ascii="仿宋_GB2312" w:hAnsi="仿宋_GB2312" w:eastAsia="仿宋_GB2312" w:cs="仿宋_GB2312"/>
          <w:sz w:val="24"/>
          <w:szCs w:val="24"/>
          <w:highlight w:val="none"/>
          <w:lang w:val="en-US" w:eastAsia="zh-CN"/>
        </w:rPr>
        <w:t>位于</w:t>
      </w:r>
      <w:r>
        <w:rPr>
          <w:rFonts w:hint="eastAsia" w:ascii="仿宋_GB2312" w:hAnsi="仿宋_GB2312" w:eastAsia="仿宋_GB2312" w:cs="仿宋_GB2312"/>
          <w:sz w:val="24"/>
          <w:szCs w:val="24"/>
          <w:highlight w:val="none"/>
        </w:rPr>
        <w:t>楼山创忆空间项目（一期）</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为高层厂房。本项目筒仓3层（两层加固改造，顶层加建一层钢结构，交通核部分为新建），建筑高度46.2米。本工程新建结构设计工作年限50年，改造后结构后续工作年限30年，为剪力墙结构和框架结构，抗震设防烈度为7度。</w:t>
      </w:r>
    </w:p>
    <w:p w14:paraId="79282515">
      <w:pPr>
        <w:spacing w:line="360" w:lineRule="auto"/>
        <w:ind w:firstLine="480"/>
        <w:rPr>
          <w:rStyle w:val="14"/>
          <w:rFonts w:hint="eastAsia" w:ascii="仿宋_GB2312" w:hAnsi="仿宋_GB2312" w:eastAsia="仿宋_GB2312" w:cs="仿宋_GB2312"/>
          <w:highlight w:val="none"/>
        </w:rPr>
      </w:pPr>
      <w:r>
        <w:rPr>
          <w:rStyle w:val="14"/>
          <w:rFonts w:ascii="仿宋_GB2312" w:hAnsi="仿宋_GB2312" w:eastAsia="仿宋_GB2312" w:cs="仿宋_GB2312"/>
          <w:highlight w:val="none"/>
        </w:rPr>
        <w:t>3</w:t>
      </w:r>
      <w:r>
        <w:rPr>
          <w:rStyle w:val="14"/>
          <w:rFonts w:hint="eastAsia" w:ascii="仿宋_GB2312" w:hAnsi="仿宋_GB2312" w:eastAsia="仿宋_GB2312" w:cs="仿宋_GB2312"/>
          <w:highlight w:val="none"/>
        </w:rPr>
        <w:t>.服务内容</w:t>
      </w:r>
    </w:p>
    <w:p w14:paraId="192D3FCB">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按照现行国家、行业规范标准完成项目所需自动化监测，并按照合同约定频率出具监测成果提交给采购人，成果的编制必须严格执行国家、行业标准及有关法律、法规、规范、标准、规程和合同的要求，并对技术成果质量负责。</w:t>
      </w:r>
    </w:p>
    <w:p w14:paraId="3F2FD2FF">
      <w:pPr>
        <w:spacing w:line="360" w:lineRule="auto"/>
        <w:ind w:firstLine="480" w:firstLineChars="200"/>
        <w:rPr>
          <w:rStyle w:val="14"/>
          <w:rFonts w:hint="eastAsia" w:ascii="仿宋_GB2312" w:hAnsi="仿宋_GB2312" w:eastAsia="仿宋_GB2312" w:cs="仿宋_GB2312"/>
          <w:highlight w:val="none"/>
        </w:rPr>
      </w:pPr>
      <w:r>
        <w:rPr>
          <w:rFonts w:hint="eastAsia" w:ascii="仿宋_GB2312" w:hAnsi="仿宋_GB2312" w:eastAsia="仿宋_GB2312" w:cs="仿宋_GB2312"/>
          <w:sz w:val="24"/>
          <w:szCs w:val="24"/>
          <w:highlight w:val="none"/>
        </w:rPr>
        <w:t xml:space="preserve"> </w:t>
      </w:r>
      <w:r>
        <w:rPr>
          <w:rStyle w:val="14"/>
          <w:rFonts w:ascii="仿宋_GB2312" w:hAnsi="仿宋_GB2312" w:eastAsia="仿宋_GB2312" w:cs="仿宋_GB2312"/>
          <w:highlight w:val="none"/>
        </w:rPr>
        <w:t>4</w:t>
      </w:r>
      <w:r>
        <w:rPr>
          <w:rStyle w:val="14"/>
          <w:rFonts w:hint="eastAsia" w:ascii="仿宋_GB2312" w:hAnsi="仿宋_GB2312" w:eastAsia="仿宋_GB2312" w:cs="仿宋_GB2312"/>
          <w:highlight w:val="none"/>
        </w:rPr>
        <w:t>.采购预算</w:t>
      </w:r>
    </w:p>
    <w:p w14:paraId="782476EB">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采购预算</w:t>
      </w:r>
      <w:r>
        <w:rPr>
          <w:rFonts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10</w:t>
      </w:r>
      <w:r>
        <w:rPr>
          <w:rFonts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万元</w:t>
      </w:r>
      <w:r>
        <w:rPr>
          <w:rFonts w:hint="eastAsia" w:ascii="仿宋_GB2312" w:hAnsi="仿宋_GB2312" w:eastAsia="仿宋_GB2312" w:cs="仿宋_GB2312"/>
          <w:sz w:val="24"/>
          <w:highlight w:val="none"/>
        </w:rPr>
        <w:t>。</w:t>
      </w:r>
    </w:p>
    <w:p w14:paraId="76BCC106">
      <w:pPr>
        <w:pStyle w:val="2"/>
        <w:ind w:firstLine="560" w:firstLineChars="200"/>
        <w:rPr>
          <w:rStyle w:val="14"/>
          <w:rFonts w:hint="eastAsia" w:ascii="仿宋_GB2312" w:hAnsi="仿宋_GB2312" w:eastAsia="仿宋_GB2312" w:cs="仿宋_GB2312"/>
          <w:highlight w:val="none"/>
        </w:rPr>
      </w:pPr>
      <w:r>
        <w:rPr>
          <w:rStyle w:val="14"/>
          <w:rFonts w:ascii="仿宋_GB2312" w:hAnsi="仿宋_GB2312" w:eastAsia="仿宋_GB2312" w:cs="仿宋_GB2312"/>
          <w:highlight w:val="none"/>
        </w:rPr>
        <w:t>5</w:t>
      </w:r>
      <w:r>
        <w:rPr>
          <w:rStyle w:val="14"/>
          <w:rFonts w:hint="eastAsia" w:ascii="仿宋_GB2312" w:hAnsi="仿宋_GB2312" w:eastAsia="仿宋_GB2312" w:cs="仿宋_GB2312"/>
          <w:highlight w:val="none"/>
        </w:rPr>
        <w:t>.报价要求</w:t>
      </w:r>
    </w:p>
    <w:p w14:paraId="47A3A9AA">
      <w:pPr>
        <w:spacing w:line="360" w:lineRule="auto"/>
        <w:ind w:firstLine="480" w:firstLineChars="200"/>
        <w:rPr>
          <w:rFonts w:hint="eastAsia" w:ascii="仿宋_GB2312" w:hAnsi="仿宋_GB2312" w:eastAsia="仿宋_GB2312" w:cs="仿宋_GB2312"/>
          <w:kern w:val="1"/>
          <w:sz w:val="24"/>
          <w:szCs w:val="24"/>
          <w:highlight w:val="none"/>
        </w:rPr>
      </w:pPr>
      <w:r>
        <w:rPr>
          <w:rFonts w:hint="eastAsia" w:ascii="仿宋_GB2312" w:hAnsi="仿宋_GB2312" w:eastAsia="仿宋_GB2312" w:cs="仿宋_GB2312"/>
          <w:kern w:val="1"/>
          <w:sz w:val="24"/>
          <w:szCs w:val="24"/>
          <w:highlight w:val="none"/>
        </w:rPr>
        <w:t>投标人根据市场价格进行投标，投标人投标总报价分别不得超过总控制价，否则按废标处理。最终成交价格按照实际工作量据实结算，且最终结算价格不得高于中标总报价。此报价包含完成本项目工程监测及报告的全部费用，发包人不再支付其他额外费用。</w:t>
      </w:r>
    </w:p>
    <w:p w14:paraId="3C006ECB">
      <w:pPr>
        <w:spacing w:line="360" w:lineRule="auto"/>
        <w:ind w:firstLine="478" w:firstLineChars="171"/>
        <w:rPr>
          <w:rStyle w:val="14"/>
          <w:rFonts w:hint="eastAsia" w:ascii="仿宋_GB2312" w:hAnsi="仿宋_GB2312" w:eastAsia="仿宋_GB2312" w:cs="仿宋_GB2312"/>
          <w:highlight w:val="none"/>
        </w:rPr>
      </w:pPr>
      <w:r>
        <w:rPr>
          <w:rStyle w:val="14"/>
          <w:rFonts w:hint="eastAsia" w:ascii="仿宋_GB2312" w:hAnsi="仿宋_GB2312" w:eastAsia="仿宋_GB2312" w:cs="仿宋_GB2312"/>
          <w:highlight w:val="none"/>
        </w:rPr>
        <w:t>5.供应商资格要求</w:t>
      </w:r>
    </w:p>
    <w:p w14:paraId="70A14681">
      <w:pPr>
        <w:spacing w:line="360" w:lineRule="auto"/>
        <w:ind w:firstLine="480" w:firstLineChars="200"/>
        <w:rPr>
          <w:rFonts w:hint="eastAsia" w:ascii="仿宋_GB2312" w:hAnsi="仿宋_GB2312" w:eastAsia="仿宋_GB2312" w:cs="仿宋_GB2312"/>
          <w:kern w:val="1"/>
          <w:sz w:val="24"/>
          <w:szCs w:val="24"/>
          <w:highlight w:val="none"/>
        </w:rPr>
      </w:pPr>
      <w:r>
        <w:rPr>
          <w:rFonts w:hint="eastAsia" w:ascii="仿宋_GB2312" w:hAnsi="仿宋_GB2312" w:eastAsia="仿宋_GB2312" w:cs="仿宋_GB2312"/>
          <w:kern w:val="1"/>
          <w:sz w:val="24"/>
          <w:szCs w:val="24"/>
          <w:highlight w:val="none"/>
        </w:rPr>
        <w:t>5.1具有独立承担民事责任的能力。</w:t>
      </w:r>
    </w:p>
    <w:p w14:paraId="3F97B04E">
      <w:pPr>
        <w:spacing w:line="360" w:lineRule="auto"/>
        <w:ind w:firstLine="480" w:firstLineChars="200"/>
        <w:rPr>
          <w:rFonts w:hint="eastAsia" w:ascii="仿宋_GB2312" w:hAnsi="仿宋_GB2312" w:eastAsia="仿宋_GB2312" w:cs="仿宋_GB2312"/>
          <w:kern w:val="1"/>
          <w:sz w:val="24"/>
          <w:szCs w:val="24"/>
          <w:highlight w:val="none"/>
        </w:rPr>
      </w:pPr>
      <w:r>
        <w:rPr>
          <w:rFonts w:hint="eastAsia" w:ascii="仿宋_GB2312" w:hAnsi="仿宋_GB2312" w:eastAsia="仿宋_GB2312" w:cs="仿宋_GB2312"/>
          <w:kern w:val="1"/>
          <w:sz w:val="24"/>
          <w:szCs w:val="24"/>
          <w:highlight w:val="none"/>
        </w:rPr>
        <w:t>5.2具有良好的商业信誉和健全的财务会计制度。</w:t>
      </w:r>
    </w:p>
    <w:p w14:paraId="29385FC3">
      <w:pPr>
        <w:spacing w:line="360" w:lineRule="auto"/>
        <w:ind w:firstLine="480" w:firstLineChars="200"/>
        <w:rPr>
          <w:rFonts w:hint="eastAsia" w:ascii="仿宋_GB2312" w:hAnsi="仿宋_GB2312" w:eastAsia="仿宋_GB2312" w:cs="仿宋_GB2312"/>
          <w:kern w:val="1"/>
          <w:sz w:val="24"/>
          <w:szCs w:val="24"/>
          <w:highlight w:val="none"/>
        </w:rPr>
      </w:pPr>
      <w:r>
        <w:rPr>
          <w:rFonts w:hint="eastAsia" w:ascii="仿宋_GB2312" w:hAnsi="仿宋_GB2312" w:eastAsia="仿宋_GB2312" w:cs="仿宋_GB2312"/>
          <w:kern w:val="1"/>
          <w:sz w:val="24"/>
          <w:szCs w:val="24"/>
          <w:highlight w:val="none"/>
        </w:rPr>
        <w:t>5.3具有依法缴纳税收和社会保障资金的良好记录。</w:t>
      </w:r>
    </w:p>
    <w:p w14:paraId="20E23263">
      <w:pPr>
        <w:spacing w:line="360" w:lineRule="auto"/>
        <w:ind w:firstLine="480" w:firstLineChars="200"/>
        <w:rPr>
          <w:rFonts w:hint="eastAsia" w:ascii="仿宋_GB2312" w:hAnsi="仿宋_GB2312" w:eastAsia="仿宋_GB2312" w:cs="仿宋_GB2312"/>
          <w:kern w:val="1"/>
          <w:sz w:val="24"/>
          <w:szCs w:val="24"/>
          <w:highlight w:val="none"/>
        </w:rPr>
      </w:pPr>
      <w:r>
        <w:rPr>
          <w:rFonts w:hint="eastAsia" w:ascii="仿宋_GB2312" w:hAnsi="仿宋_GB2312" w:eastAsia="仿宋_GB2312" w:cs="仿宋_GB2312"/>
          <w:kern w:val="1"/>
          <w:sz w:val="24"/>
          <w:szCs w:val="24"/>
          <w:highlight w:val="none"/>
        </w:rPr>
        <w:t>5.4招标邀请书发布之日前三年内在经营活动中没有重大违法记录。</w:t>
      </w:r>
    </w:p>
    <w:p w14:paraId="45A87F36">
      <w:pPr>
        <w:spacing w:line="360" w:lineRule="auto"/>
        <w:ind w:firstLine="480" w:firstLineChars="200"/>
        <w:rPr>
          <w:rFonts w:hint="eastAsia" w:ascii="仿宋_GB2312" w:hAnsi="仿宋_GB2312" w:eastAsia="仿宋_GB2312" w:cs="仿宋_GB2312"/>
          <w:kern w:val="1"/>
          <w:sz w:val="24"/>
          <w:szCs w:val="24"/>
          <w:highlight w:val="none"/>
        </w:rPr>
      </w:pPr>
      <w:r>
        <w:rPr>
          <w:rFonts w:hint="eastAsia" w:ascii="仿宋_GB2312" w:hAnsi="仿宋_GB2312" w:eastAsia="仿宋_GB2312" w:cs="仿宋_GB2312"/>
          <w:kern w:val="1"/>
          <w:sz w:val="24"/>
          <w:szCs w:val="24"/>
          <w:highlight w:val="none"/>
        </w:rPr>
        <w:t>5.5通过“信用中国”网站（www.creditchina.gov.cn）、“信用山东” (credit.shandong.gov.cn) 及“信用青岛”（www.qingdao.gov.cn/credit）查询，未被列入失信被执行人、重大税收违法案件当事人。</w:t>
      </w:r>
    </w:p>
    <w:p w14:paraId="0BFB6CFD">
      <w:pPr>
        <w:spacing w:line="360" w:lineRule="auto"/>
        <w:ind w:firstLine="480" w:firstLineChars="200"/>
        <w:rPr>
          <w:rFonts w:hint="eastAsia" w:ascii="仿宋_GB2312" w:hAnsi="仿宋_GB2312" w:eastAsia="仿宋_GB2312" w:cs="仿宋_GB2312"/>
          <w:kern w:val="1"/>
          <w:sz w:val="24"/>
          <w:szCs w:val="24"/>
          <w:highlight w:val="none"/>
        </w:rPr>
      </w:pPr>
      <w:r>
        <w:rPr>
          <w:rFonts w:hint="eastAsia" w:ascii="仿宋_GB2312" w:hAnsi="仿宋_GB2312" w:eastAsia="仿宋_GB2312" w:cs="仿宋_GB2312"/>
          <w:kern w:val="1"/>
          <w:sz w:val="24"/>
          <w:szCs w:val="24"/>
          <w:highlight w:val="none"/>
        </w:rPr>
        <w:t>5.6单位负责人为同一人或者存在控股、管理关系的不同单位，不得参加同一标段投标或者未划分标段的同一招标项目投标。</w:t>
      </w:r>
    </w:p>
    <w:p w14:paraId="29C9A50C">
      <w:pPr>
        <w:spacing w:line="360" w:lineRule="auto"/>
        <w:ind w:firstLine="480" w:firstLineChars="200"/>
        <w:rPr>
          <w:rFonts w:ascii="仿宋_GB2312" w:hAnsi="仿宋_GB2312" w:eastAsia="仿宋_GB2312" w:cs="仿宋_GB2312"/>
          <w:kern w:val="1"/>
          <w:sz w:val="24"/>
          <w:szCs w:val="24"/>
          <w:highlight w:val="none"/>
        </w:rPr>
      </w:pPr>
      <w:r>
        <w:rPr>
          <w:rFonts w:hint="eastAsia" w:ascii="仿宋_GB2312" w:hAnsi="仿宋_GB2312" w:eastAsia="仿宋_GB2312" w:cs="仿宋_GB2312"/>
          <w:kern w:val="1"/>
          <w:sz w:val="24"/>
          <w:szCs w:val="24"/>
          <w:highlight w:val="none"/>
        </w:rPr>
        <w:t>5.7近三年至少有一项类似工程业绩，需提供合同复印件。</w:t>
      </w:r>
    </w:p>
    <w:p w14:paraId="54ED5D2E">
      <w:pPr>
        <w:spacing w:line="360" w:lineRule="auto"/>
        <w:ind w:firstLine="480" w:firstLineChars="200"/>
        <w:rPr>
          <w:rFonts w:hint="eastAsia" w:ascii="仿宋_GB2312" w:hAnsi="仿宋_GB2312" w:eastAsia="仿宋_GB2312" w:cs="仿宋_GB2312"/>
          <w:kern w:val="1"/>
          <w:sz w:val="24"/>
          <w:szCs w:val="24"/>
          <w:highlight w:val="none"/>
        </w:rPr>
      </w:pPr>
      <w:r>
        <w:rPr>
          <w:rFonts w:hint="eastAsia" w:ascii="仿宋_GB2312" w:hAnsi="仿宋_GB2312" w:eastAsia="仿宋_GB2312" w:cs="仿宋_GB2312"/>
          <w:kern w:val="1"/>
          <w:sz w:val="24"/>
          <w:szCs w:val="24"/>
          <w:highlight w:val="none"/>
        </w:rPr>
        <w:t>5.8具有以下资质之一：</w:t>
      </w:r>
    </w:p>
    <w:p w14:paraId="311C8DB2">
      <w:pPr>
        <w:spacing w:line="360" w:lineRule="auto"/>
        <w:ind w:firstLine="480" w:firstLineChars="200"/>
        <w:rPr>
          <w:rFonts w:hint="eastAsia" w:ascii="仿宋_GB2312" w:hAnsi="仿宋_GB2312" w:eastAsia="仿宋_GB2312" w:cs="仿宋_GB2312"/>
          <w:kern w:val="1"/>
          <w:sz w:val="24"/>
          <w:szCs w:val="24"/>
          <w:highlight w:val="none"/>
        </w:rPr>
      </w:pPr>
      <w:r>
        <w:rPr>
          <w:rFonts w:hint="eastAsia" w:ascii="仿宋_GB2312" w:hAnsi="仿宋_GB2312" w:eastAsia="仿宋_GB2312" w:cs="仿宋_GB2312"/>
          <w:kern w:val="1"/>
          <w:sz w:val="24"/>
          <w:szCs w:val="24"/>
          <w:highlight w:val="none"/>
        </w:rPr>
        <w:t>5.8.1住房和城乡建设部颁发的工程勘察综合类甲级资质；</w:t>
      </w:r>
    </w:p>
    <w:p w14:paraId="2F74B34B">
      <w:pPr>
        <w:spacing w:line="360" w:lineRule="auto"/>
        <w:ind w:firstLine="480" w:firstLineChars="200"/>
        <w:rPr>
          <w:rFonts w:hint="eastAsia" w:ascii="仿宋_GB2312" w:hAnsi="仿宋_GB2312" w:eastAsia="仿宋_GB2312" w:cs="仿宋_GB2312"/>
          <w:kern w:val="1"/>
          <w:sz w:val="24"/>
          <w:szCs w:val="24"/>
          <w:highlight w:val="none"/>
        </w:rPr>
      </w:pPr>
      <w:r>
        <w:rPr>
          <w:rFonts w:hint="eastAsia" w:ascii="仿宋_GB2312" w:hAnsi="仿宋_GB2312" w:eastAsia="仿宋_GB2312" w:cs="仿宋_GB2312"/>
          <w:kern w:val="1"/>
          <w:sz w:val="24"/>
          <w:szCs w:val="24"/>
          <w:highlight w:val="none"/>
        </w:rPr>
        <w:t>5.8.2具有住房和城乡建设部颁发的工程测量专业甲级资质；</w:t>
      </w:r>
    </w:p>
    <w:p w14:paraId="2B0EFE9E">
      <w:pPr>
        <w:spacing w:line="360" w:lineRule="auto"/>
        <w:ind w:firstLine="480" w:firstLineChars="200"/>
        <w:rPr>
          <w:rFonts w:hint="eastAsia" w:ascii="仿宋_GB2312" w:hAnsi="仿宋_GB2312" w:eastAsia="仿宋_GB2312" w:cs="仿宋_GB2312"/>
          <w:kern w:val="1"/>
          <w:sz w:val="24"/>
          <w:szCs w:val="24"/>
          <w:highlight w:val="none"/>
        </w:rPr>
      </w:pPr>
      <w:r>
        <w:rPr>
          <w:rFonts w:hint="eastAsia" w:ascii="仿宋_GB2312" w:hAnsi="仿宋_GB2312" w:eastAsia="仿宋_GB2312" w:cs="仿宋_GB2312"/>
          <w:kern w:val="1"/>
          <w:sz w:val="24"/>
          <w:szCs w:val="24"/>
          <w:highlight w:val="none"/>
        </w:rPr>
        <w:t>5.8.3具有住房和城乡建设部颁发的岩土工程物探测试检测监测专业甲级资质。</w:t>
      </w:r>
    </w:p>
    <w:p w14:paraId="6A40D87E">
      <w:pPr>
        <w:spacing w:line="360" w:lineRule="auto"/>
        <w:ind w:firstLine="478" w:firstLineChars="171"/>
        <w:rPr>
          <w:rStyle w:val="14"/>
          <w:rFonts w:hint="eastAsia" w:ascii="仿宋_GB2312" w:hAnsi="仿宋_GB2312" w:eastAsia="仿宋_GB2312" w:cs="仿宋_GB2312"/>
          <w:highlight w:val="none"/>
        </w:rPr>
      </w:pPr>
      <w:r>
        <w:rPr>
          <w:rStyle w:val="14"/>
          <w:rFonts w:hint="eastAsia" w:ascii="仿宋_GB2312" w:hAnsi="仿宋_GB2312" w:eastAsia="仿宋_GB2312" w:cs="仿宋_GB2312"/>
          <w:highlight w:val="none"/>
        </w:rPr>
        <w:t>6.递交响应文件时间及地点</w:t>
      </w:r>
    </w:p>
    <w:p w14:paraId="30D3BB89">
      <w:pPr>
        <w:spacing w:line="360" w:lineRule="auto"/>
        <w:ind w:firstLine="480" w:firstLineChars="200"/>
        <w:rPr>
          <w:rFonts w:hint="eastAsia" w:ascii="仿宋_GB2312" w:hAnsi="仿宋_GB2312" w:eastAsia="仿宋_GB2312" w:cs="仿宋_GB2312"/>
          <w:kern w:val="1"/>
          <w:sz w:val="24"/>
          <w:szCs w:val="24"/>
          <w:highlight w:val="none"/>
          <w:u w:val="single"/>
        </w:rPr>
      </w:pPr>
      <w:r>
        <w:rPr>
          <w:rFonts w:hint="eastAsia" w:ascii="仿宋_GB2312" w:hAnsi="仿宋_GB2312" w:eastAsia="仿宋_GB2312" w:cs="仿宋_GB2312"/>
          <w:kern w:val="1"/>
          <w:sz w:val="24"/>
          <w:szCs w:val="24"/>
          <w:highlight w:val="none"/>
        </w:rPr>
        <w:t>6.1时间：</w:t>
      </w:r>
      <w:r>
        <w:rPr>
          <w:rFonts w:hint="eastAsia" w:ascii="仿宋_GB2312" w:hAnsi="仿宋_GB2312" w:eastAsia="仿宋_GB2312" w:cs="仿宋_GB2312"/>
          <w:kern w:val="1"/>
          <w:sz w:val="24"/>
          <w:szCs w:val="24"/>
          <w:highlight w:val="none"/>
          <w:lang w:eastAsia="zh-CN"/>
        </w:rPr>
        <w:t>2024年12月31日</w:t>
      </w:r>
      <w:r>
        <w:rPr>
          <w:rFonts w:hint="eastAsia" w:ascii="仿宋_GB2312" w:hAnsi="仿宋_GB2312" w:eastAsia="仿宋_GB2312" w:cs="仿宋_GB2312"/>
          <w:kern w:val="1"/>
          <w:sz w:val="24"/>
          <w:szCs w:val="24"/>
          <w:highlight w:val="none"/>
        </w:rPr>
        <w:t>09时00分至09时30分。</w:t>
      </w:r>
    </w:p>
    <w:p w14:paraId="74E02B76">
      <w:pPr>
        <w:spacing w:line="360" w:lineRule="auto"/>
        <w:ind w:firstLine="480" w:firstLineChars="200"/>
        <w:rPr>
          <w:rFonts w:hint="eastAsia" w:ascii="仿宋_GB2312" w:hAnsi="仿宋_GB2312" w:eastAsia="仿宋_GB2312" w:cs="仿宋_GB2312"/>
          <w:kern w:val="1"/>
          <w:sz w:val="24"/>
          <w:szCs w:val="24"/>
          <w:highlight w:val="none"/>
        </w:rPr>
      </w:pPr>
      <w:r>
        <w:rPr>
          <w:rFonts w:hint="eastAsia" w:ascii="仿宋_GB2312" w:hAnsi="仿宋_GB2312" w:eastAsia="仿宋_GB2312" w:cs="仿宋_GB2312"/>
          <w:kern w:val="1"/>
          <w:sz w:val="24"/>
          <w:szCs w:val="24"/>
          <w:highlight w:val="none"/>
        </w:rPr>
        <w:t>6.2地点：四流北路78号青岛碱厂办公区西办公楼2楼206室。</w:t>
      </w:r>
    </w:p>
    <w:p w14:paraId="15CF3E5B">
      <w:pPr>
        <w:spacing w:line="360" w:lineRule="auto"/>
        <w:ind w:firstLine="478" w:firstLineChars="171"/>
        <w:rPr>
          <w:rStyle w:val="14"/>
          <w:rFonts w:hint="eastAsia" w:ascii="仿宋_GB2312" w:hAnsi="仿宋_GB2312" w:eastAsia="仿宋_GB2312" w:cs="仿宋_GB2312"/>
          <w:highlight w:val="none"/>
        </w:rPr>
      </w:pPr>
      <w:r>
        <w:rPr>
          <w:rStyle w:val="14"/>
          <w:rFonts w:hint="eastAsia" w:ascii="仿宋_GB2312" w:hAnsi="仿宋_GB2312" w:eastAsia="仿宋_GB2312" w:cs="仿宋_GB2312"/>
          <w:highlight w:val="none"/>
        </w:rPr>
        <w:t>7.开标时间及地点</w:t>
      </w:r>
    </w:p>
    <w:p w14:paraId="5D1CD5D2">
      <w:pPr>
        <w:spacing w:line="360" w:lineRule="auto"/>
        <w:ind w:firstLine="480" w:firstLineChars="200"/>
        <w:rPr>
          <w:rFonts w:hint="eastAsia" w:ascii="仿宋_GB2312" w:hAnsi="仿宋_GB2312" w:eastAsia="仿宋_GB2312" w:cs="仿宋_GB2312"/>
          <w:kern w:val="1"/>
          <w:sz w:val="24"/>
          <w:szCs w:val="24"/>
          <w:highlight w:val="none"/>
        </w:rPr>
      </w:pPr>
      <w:r>
        <w:rPr>
          <w:rFonts w:hint="eastAsia" w:ascii="仿宋_GB2312" w:hAnsi="仿宋_GB2312" w:eastAsia="仿宋_GB2312" w:cs="仿宋_GB2312"/>
          <w:kern w:val="1"/>
          <w:sz w:val="24"/>
          <w:szCs w:val="24"/>
          <w:highlight w:val="none"/>
        </w:rPr>
        <w:t>7.1时间：</w:t>
      </w:r>
      <w:r>
        <w:rPr>
          <w:rFonts w:hint="eastAsia" w:ascii="仿宋_GB2312" w:hAnsi="仿宋_GB2312" w:eastAsia="仿宋_GB2312" w:cs="仿宋_GB2312"/>
          <w:kern w:val="1"/>
          <w:sz w:val="24"/>
          <w:szCs w:val="24"/>
          <w:highlight w:val="none"/>
          <w:lang w:eastAsia="zh-CN"/>
        </w:rPr>
        <w:t>2024年</w:t>
      </w:r>
      <w:r>
        <w:rPr>
          <w:rFonts w:hint="eastAsia" w:ascii="仿宋_GB2312" w:hAnsi="仿宋_GB2312" w:eastAsia="仿宋_GB2312" w:cs="仿宋_GB2312"/>
          <w:kern w:val="1"/>
          <w:sz w:val="24"/>
          <w:szCs w:val="24"/>
          <w:highlight w:val="none"/>
          <w:lang w:val="en-US" w:eastAsia="zh-CN"/>
        </w:rPr>
        <w:t>12月31日</w:t>
      </w:r>
      <w:r>
        <w:rPr>
          <w:rFonts w:hint="eastAsia" w:ascii="仿宋_GB2312" w:hAnsi="仿宋_GB2312" w:eastAsia="仿宋_GB2312" w:cs="仿宋_GB2312"/>
          <w:kern w:val="1"/>
          <w:sz w:val="24"/>
          <w:szCs w:val="24"/>
          <w:highlight w:val="none"/>
        </w:rPr>
        <w:t>09时35分。</w:t>
      </w:r>
    </w:p>
    <w:p w14:paraId="01C3807D">
      <w:pPr>
        <w:spacing w:line="360" w:lineRule="auto"/>
        <w:ind w:firstLine="480" w:firstLineChars="200"/>
        <w:rPr>
          <w:rFonts w:hint="eastAsia" w:ascii="仿宋_GB2312" w:hAnsi="仿宋_GB2312" w:eastAsia="仿宋_GB2312" w:cs="仿宋_GB2312"/>
          <w:kern w:val="1"/>
          <w:sz w:val="24"/>
          <w:szCs w:val="24"/>
          <w:highlight w:val="none"/>
        </w:rPr>
      </w:pPr>
      <w:r>
        <w:rPr>
          <w:rFonts w:hint="eastAsia" w:ascii="仿宋_GB2312" w:hAnsi="仿宋_GB2312" w:eastAsia="仿宋_GB2312" w:cs="仿宋_GB2312"/>
          <w:kern w:val="1"/>
          <w:sz w:val="24"/>
          <w:szCs w:val="24"/>
          <w:highlight w:val="none"/>
        </w:rPr>
        <w:t>7.2地点：四流北路78号青岛碱厂办公区西办公楼3楼会议室。</w:t>
      </w:r>
    </w:p>
    <w:p w14:paraId="2426986D">
      <w:pPr>
        <w:spacing w:line="360" w:lineRule="auto"/>
        <w:ind w:firstLine="478" w:firstLineChars="171"/>
        <w:rPr>
          <w:rStyle w:val="14"/>
          <w:rFonts w:hint="eastAsia" w:ascii="仿宋_GB2312" w:hAnsi="仿宋_GB2312" w:eastAsia="仿宋_GB2312" w:cs="仿宋_GB2312"/>
          <w:highlight w:val="none"/>
        </w:rPr>
      </w:pPr>
      <w:r>
        <w:rPr>
          <w:rStyle w:val="14"/>
          <w:rFonts w:hint="eastAsia" w:ascii="仿宋_GB2312" w:hAnsi="仿宋_GB2312" w:eastAsia="仿宋_GB2312" w:cs="仿宋_GB2312"/>
          <w:highlight w:val="none"/>
        </w:rPr>
        <w:t>8.其他</w:t>
      </w:r>
    </w:p>
    <w:p w14:paraId="07921D02">
      <w:pPr>
        <w:spacing w:line="360" w:lineRule="auto"/>
        <w:ind w:firstLine="480" w:firstLineChars="200"/>
        <w:rPr>
          <w:rFonts w:hint="eastAsia" w:ascii="仿宋_GB2312" w:hAnsi="仿宋_GB2312" w:eastAsia="仿宋_GB2312" w:cs="仿宋_GB2312"/>
          <w:kern w:val="1"/>
          <w:sz w:val="24"/>
          <w:szCs w:val="24"/>
          <w:highlight w:val="none"/>
          <w:lang w:val="zh-CN"/>
        </w:rPr>
      </w:pPr>
      <w:r>
        <w:rPr>
          <w:rFonts w:hint="eastAsia" w:ascii="仿宋_GB2312" w:hAnsi="仿宋_GB2312" w:eastAsia="仿宋_GB2312" w:cs="仿宋_GB2312"/>
          <w:kern w:val="1"/>
          <w:sz w:val="24"/>
          <w:szCs w:val="24"/>
          <w:highlight w:val="none"/>
          <w:lang w:val="zh-CN"/>
        </w:rPr>
        <w:t>采购文件内容及开标时间可能会因项目澄清、答疑等情况发生变更，请各供应商密切留意获。</w:t>
      </w:r>
    </w:p>
    <w:p w14:paraId="1FF167FF">
      <w:pPr>
        <w:spacing w:line="360" w:lineRule="auto"/>
        <w:ind w:firstLine="478" w:firstLineChars="171"/>
        <w:rPr>
          <w:rStyle w:val="14"/>
          <w:rFonts w:hint="eastAsia" w:ascii="仿宋_GB2312" w:hAnsi="仿宋_GB2312" w:eastAsia="仿宋_GB2312" w:cs="仿宋_GB2312"/>
          <w:highlight w:val="none"/>
        </w:rPr>
      </w:pPr>
      <w:r>
        <w:rPr>
          <w:rStyle w:val="14"/>
          <w:rFonts w:hint="eastAsia" w:ascii="仿宋_GB2312" w:hAnsi="仿宋_GB2312" w:eastAsia="仿宋_GB2312" w:cs="仿宋_GB2312"/>
          <w:highlight w:val="none"/>
        </w:rPr>
        <w:t>9.联系方式</w:t>
      </w:r>
    </w:p>
    <w:p w14:paraId="5A084D02">
      <w:pPr>
        <w:spacing w:line="360" w:lineRule="auto"/>
        <w:ind w:firstLine="480" w:firstLineChars="200"/>
        <w:rPr>
          <w:rFonts w:hint="eastAsia" w:ascii="仿宋_GB2312" w:hAnsi="仿宋_GB2312" w:eastAsia="仿宋_GB2312" w:cs="仿宋_GB2312"/>
          <w:kern w:val="1"/>
          <w:sz w:val="24"/>
          <w:szCs w:val="24"/>
          <w:highlight w:val="none"/>
          <w:lang w:val="zh-CN"/>
        </w:rPr>
      </w:pPr>
      <w:r>
        <w:rPr>
          <w:rFonts w:hint="eastAsia" w:ascii="仿宋_GB2312" w:hAnsi="仿宋_GB2312" w:eastAsia="仿宋_GB2312" w:cs="仿宋_GB2312"/>
          <w:kern w:val="1"/>
          <w:sz w:val="24"/>
          <w:szCs w:val="24"/>
          <w:highlight w:val="none"/>
          <w:lang w:val="zh-CN"/>
        </w:rPr>
        <w:t>采 购 人：</w:t>
      </w:r>
      <w:r>
        <w:rPr>
          <w:rFonts w:hint="eastAsia" w:ascii="仿宋_GB2312" w:hAnsi="仿宋_GB2312" w:eastAsia="仿宋_GB2312" w:cs="仿宋_GB2312"/>
          <w:kern w:val="1"/>
          <w:sz w:val="24"/>
          <w:szCs w:val="24"/>
          <w:highlight w:val="none"/>
        </w:rPr>
        <w:t>青岛财通城市更新</w:t>
      </w:r>
      <w:r>
        <w:rPr>
          <w:rFonts w:hint="eastAsia" w:ascii="仿宋_GB2312" w:hAnsi="仿宋_GB2312" w:eastAsia="仿宋_GB2312" w:cs="仿宋_GB2312"/>
          <w:kern w:val="1"/>
          <w:sz w:val="24"/>
          <w:szCs w:val="24"/>
          <w:highlight w:val="none"/>
          <w:lang w:val="zh-CN"/>
        </w:rPr>
        <w:t>有限公司</w:t>
      </w:r>
    </w:p>
    <w:p w14:paraId="52408E7B">
      <w:pPr>
        <w:spacing w:line="360" w:lineRule="auto"/>
        <w:ind w:firstLine="480" w:firstLineChars="200"/>
        <w:rPr>
          <w:rFonts w:hint="eastAsia" w:ascii="仿宋_GB2312" w:hAnsi="仿宋_GB2312" w:eastAsia="仿宋_GB2312" w:cs="仿宋_GB2312"/>
          <w:kern w:val="1"/>
          <w:sz w:val="24"/>
          <w:szCs w:val="24"/>
          <w:highlight w:val="none"/>
        </w:rPr>
      </w:pPr>
      <w:r>
        <w:rPr>
          <w:rFonts w:hint="eastAsia" w:ascii="仿宋_GB2312" w:hAnsi="仿宋_GB2312" w:eastAsia="仿宋_GB2312" w:cs="仿宋_GB2312"/>
          <w:kern w:val="1"/>
          <w:sz w:val="24"/>
          <w:szCs w:val="24"/>
          <w:highlight w:val="none"/>
          <w:lang w:val="zh-CN"/>
        </w:rPr>
        <w:t>联 系 人：</w:t>
      </w:r>
      <w:r>
        <w:rPr>
          <w:rFonts w:hint="eastAsia" w:ascii="仿宋_GB2312" w:hAnsi="仿宋_GB2312" w:eastAsia="仿宋_GB2312" w:cs="仿宋_GB2312"/>
          <w:kern w:val="1"/>
          <w:sz w:val="24"/>
          <w:szCs w:val="24"/>
          <w:highlight w:val="none"/>
        </w:rPr>
        <w:t>邹连杰</w:t>
      </w:r>
    </w:p>
    <w:p w14:paraId="2EC6B3DB">
      <w:pPr>
        <w:spacing w:line="360" w:lineRule="auto"/>
        <w:ind w:firstLine="480" w:firstLineChars="200"/>
        <w:rPr>
          <w:rFonts w:hint="eastAsia" w:ascii="仿宋_GB2312" w:hAnsi="仿宋_GB2312" w:eastAsia="仿宋_GB2312" w:cs="仿宋_GB2312"/>
          <w:kern w:val="1"/>
          <w:sz w:val="24"/>
          <w:szCs w:val="24"/>
          <w:highlight w:val="none"/>
        </w:rPr>
      </w:pPr>
      <w:r>
        <w:rPr>
          <w:rFonts w:hint="eastAsia" w:ascii="仿宋_GB2312" w:hAnsi="仿宋_GB2312" w:eastAsia="仿宋_GB2312" w:cs="仿宋_GB2312"/>
          <w:kern w:val="1"/>
          <w:sz w:val="24"/>
          <w:szCs w:val="24"/>
          <w:highlight w:val="none"/>
          <w:lang w:val="zh-CN"/>
        </w:rPr>
        <w:t>电    话：</w:t>
      </w:r>
      <w:r>
        <w:rPr>
          <w:rFonts w:hint="eastAsia" w:ascii="仿宋_GB2312" w:hAnsi="仿宋_GB2312" w:eastAsia="仿宋_GB2312" w:cs="仿宋_GB2312"/>
          <w:kern w:val="1"/>
          <w:sz w:val="24"/>
          <w:szCs w:val="24"/>
          <w:highlight w:val="none"/>
        </w:rPr>
        <w:t>13605426198</w:t>
      </w:r>
    </w:p>
    <w:p w14:paraId="757ADF58">
      <w:pPr>
        <w:spacing w:line="360" w:lineRule="auto"/>
        <w:ind w:firstLine="480" w:firstLineChars="200"/>
        <w:rPr>
          <w:rFonts w:hint="eastAsia" w:ascii="仿宋_GB2312" w:hAnsi="仿宋_GB2312" w:eastAsia="仿宋_GB2312" w:cs="仿宋_GB2312"/>
          <w:kern w:val="1"/>
          <w:sz w:val="24"/>
          <w:szCs w:val="24"/>
          <w:highlight w:val="none"/>
        </w:rPr>
      </w:pPr>
    </w:p>
    <w:p w14:paraId="2DBAE5C2">
      <w:pPr>
        <w:jc w:val="center"/>
        <w:rPr>
          <w:rFonts w:hint="eastAsia" w:ascii="仿宋_GB2312" w:hAnsi="仿宋_GB2312" w:eastAsia="仿宋_GB2312" w:cs="仿宋_GB2312"/>
          <w:kern w:val="1"/>
          <w:sz w:val="24"/>
          <w:szCs w:val="24"/>
          <w:highlight w:val="none"/>
        </w:rPr>
      </w:pPr>
    </w:p>
    <w:p w14:paraId="5FF26B4B">
      <w:pPr>
        <w:numPr>
          <w:ilvl w:val="0"/>
          <w:numId w:val="1"/>
        </w:numPr>
        <w:spacing w:after="312" w:afterLines="100"/>
        <w:jc w:val="center"/>
        <w:outlineLvl w:val="1"/>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br w:type="page"/>
      </w:r>
      <w:bookmarkStart w:id="1" w:name="_Toc126742725"/>
      <w:r>
        <w:rPr>
          <w:rFonts w:hint="eastAsia" w:ascii="仿宋_GB2312" w:hAnsi="仿宋_GB2312" w:eastAsia="仿宋_GB2312" w:cs="仿宋_GB2312"/>
          <w:sz w:val="28"/>
          <w:szCs w:val="28"/>
          <w:highlight w:val="none"/>
        </w:rPr>
        <w:t xml:space="preserve">  供应商须知前附表</w:t>
      </w:r>
      <w:bookmarkEnd w:id="1"/>
    </w:p>
    <w:p w14:paraId="142FB168">
      <w:pPr>
        <w:spacing w:line="360" w:lineRule="auto"/>
        <w:ind w:firstLine="48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4"/>
          <w:highlight w:val="none"/>
          <w:lang w:val="en-GB"/>
        </w:rPr>
        <w:t>供应商应仔细阅读谈判文件的所有内容（包括澄清、补充或修改等内容），按照谈判文件的要求及格式编制响应文件，并保证其真实性，否则一切后果自负。</w:t>
      </w:r>
    </w:p>
    <w:tbl>
      <w:tblPr>
        <w:tblStyle w:val="9"/>
        <w:tblW w:w="0" w:type="auto"/>
        <w:tblInd w:w="-113" w:type="dxa"/>
        <w:tblLayout w:type="fixed"/>
        <w:tblCellMar>
          <w:top w:w="0" w:type="dxa"/>
          <w:left w:w="108" w:type="dxa"/>
          <w:bottom w:w="0" w:type="dxa"/>
          <w:right w:w="108" w:type="dxa"/>
        </w:tblCellMar>
      </w:tblPr>
      <w:tblGrid>
        <w:gridCol w:w="959"/>
        <w:gridCol w:w="2793"/>
        <w:gridCol w:w="5534"/>
      </w:tblGrid>
      <w:tr w14:paraId="6C1A4DB7">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14:paraId="4E96F4F9">
            <w:pPr>
              <w:tabs>
                <w:tab w:val="left" w:pos="7665"/>
              </w:tabs>
              <w:jc w:val="center"/>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序号</w:t>
            </w:r>
          </w:p>
        </w:tc>
        <w:tc>
          <w:tcPr>
            <w:tcW w:w="2793" w:type="dxa"/>
            <w:tcBorders>
              <w:top w:val="single" w:color="auto" w:sz="4" w:space="0"/>
              <w:left w:val="single" w:color="auto" w:sz="4" w:space="0"/>
              <w:bottom w:val="single" w:color="auto" w:sz="4" w:space="0"/>
              <w:right w:val="single" w:color="auto" w:sz="4" w:space="0"/>
            </w:tcBorders>
            <w:vAlign w:val="center"/>
          </w:tcPr>
          <w:p w14:paraId="0566D80D">
            <w:pPr>
              <w:tabs>
                <w:tab w:val="left" w:pos="7665"/>
              </w:tabs>
              <w:jc w:val="center"/>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条款名称</w:t>
            </w:r>
          </w:p>
        </w:tc>
        <w:tc>
          <w:tcPr>
            <w:tcW w:w="5534" w:type="dxa"/>
            <w:tcBorders>
              <w:top w:val="single" w:color="auto" w:sz="4" w:space="0"/>
              <w:left w:val="single" w:color="auto" w:sz="4" w:space="0"/>
              <w:bottom w:val="single" w:color="auto" w:sz="4" w:space="0"/>
              <w:right w:val="single" w:color="auto" w:sz="4" w:space="0"/>
            </w:tcBorders>
            <w:vAlign w:val="center"/>
          </w:tcPr>
          <w:p w14:paraId="3BB0AEB2">
            <w:pPr>
              <w:tabs>
                <w:tab w:val="left" w:pos="7665"/>
              </w:tabs>
              <w:jc w:val="center"/>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编列内容</w:t>
            </w:r>
          </w:p>
        </w:tc>
      </w:tr>
      <w:tr w14:paraId="7ABA4CA9">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14:paraId="5A4E3EBA">
            <w:pPr>
              <w:jc w:val="center"/>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1</w:t>
            </w:r>
          </w:p>
        </w:tc>
        <w:tc>
          <w:tcPr>
            <w:tcW w:w="2793" w:type="dxa"/>
            <w:tcBorders>
              <w:top w:val="single" w:color="auto" w:sz="4" w:space="0"/>
              <w:left w:val="single" w:color="auto" w:sz="4" w:space="0"/>
              <w:bottom w:val="single" w:color="auto" w:sz="4" w:space="0"/>
              <w:right w:val="single" w:color="auto" w:sz="4" w:space="0"/>
            </w:tcBorders>
            <w:vAlign w:val="center"/>
          </w:tcPr>
          <w:p w14:paraId="15972100">
            <w:pPr>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采购人</w:t>
            </w:r>
          </w:p>
        </w:tc>
        <w:tc>
          <w:tcPr>
            <w:tcW w:w="5534" w:type="dxa"/>
            <w:tcBorders>
              <w:top w:val="single" w:color="auto" w:sz="4" w:space="0"/>
              <w:left w:val="single" w:color="auto" w:sz="4" w:space="0"/>
              <w:bottom w:val="single" w:color="auto" w:sz="4" w:space="0"/>
              <w:right w:val="single" w:color="auto" w:sz="4" w:space="0"/>
            </w:tcBorders>
            <w:vAlign w:val="center"/>
          </w:tcPr>
          <w:p w14:paraId="0EA2F399">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青岛财通城市更新有限公司</w:t>
            </w:r>
          </w:p>
        </w:tc>
      </w:tr>
      <w:tr w14:paraId="76B3863E">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14:paraId="4A5D5877">
            <w:pPr>
              <w:jc w:val="center"/>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2</w:t>
            </w:r>
          </w:p>
        </w:tc>
        <w:tc>
          <w:tcPr>
            <w:tcW w:w="2793" w:type="dxa"/>
            <w:tcBorders>
              <w:top w:val="single" w:color="auto" w:sz="4" w:space="0"/>
              <w:left w:val="single" w:color="auto" w:sz="4" w:space="0"/>
              <w:bottom w:val="single" w:color="auto" w:sz="4" w:space="0"/>
              <w:right w:val="single" w:color="auto" w:sz="4" w:space="0"/>
            </w:tcBorders>
            <w:vAlign w:val="center"/>
          </w:tcPr>
          <w:p w14:paraId="490EE233">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项目名称</w:t>
            </w:r>
          </w:p>
        </w:tc>
        <w:tc>
          <w:tcPr>
            <w:tcW w:w="5534" w:type="dxa"/>
            <w:tcBorders>
              <w:top w:val="single" w:color="auto" w:sz="4" w:space="0"/>
              <w:left w:val="single" w:color="auto" w:sz="4" w:space="0"/>
              <w:bottom w:val="single" w:color="auto" w:sz="4" w:space="0"/>
              <w:right w:val="single" w:color="auto" w:sz="4" w:space="0"/>
            </w:tcBorders>
            <w:vAlign w:val="center"/>
          </w:tcPr>
          <w:p w14:paraId="266C1115">
            <w:pPr>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bCs/>
                <w:sz w:val="24"/>
                <w:szCs w:val="24"/>
                <w:highlight w:val="none"/>
                <w:u w:val="none"/>
                <w:lang w:val="en-US" w:eastAsia="zh-CN"/>
              </w:rPr>
              <w:t>楼山创忆空间（一期）——1#筒仓项目倾斜监测</w:t>
            </w:r>
          </w:p>
        </w:tc>
      </w:tr>
      <w:tr w14:paraId="0890B35D">
        <w:tblPrEx>
          <w:tblCellMar>
            <w:top w:w="0" w:type="dxa"/>
            <w:left w:w="108" w:type="dxa"/>
            <w:bottom w:w="0" w:type="dxa"/>
            <w:right w:w="108" w:type="dxa"/>
          </w:tblCellMar>
        </w:tblPrEx>
        <w:trPr>
          <w:trHeight w:val="646" w:hRule="atLeast"/>
        </w:trPr>
        <w:tc>
          <w:tcPr>
            <w:tcW w:w="959" w:type="dxa"/>
            <w:tcBorders>
              <w:top w:val="single" w:color="auto" w:sz="4" w:space="0"/>
              <w:left w:val="single" w:color="auto" w:sz="4" w:space="0"/>
              <w:bottom w:val="single" w:color="auto" w:sz="4" w:space="0"/>
              <w:right w:val="single" w:color="auto" w:sz="4" w:space="0"/>
            </w:tcBorders>
            <w:vAlign w:val="center"/>
          </w:tcPr>
          <w:p w14:paraId="419041FE">
            <w:pPr>
              <w:jc w:val="center"/>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3</w:t>
            </w:r>
          </w:p>
        </w:tc>
        <w:tc>
          <w:tcPr>
            <w:tcW w:w="2793" w:type="dxa"/>
            <w:tcBorders>
              <w:top w:val="single" w:color="auto" w:sz="4" w:space="0"/>
              <w:left w:val="single" w:color="auto" w:sz="4" w:space="0"/>
              <w:bottom w:val="single" w:color="auto" w:sz="4" w:space="0"/>
              <w:right w:val="single" w:color="auto" w:sz="4" w:space="0"/>
            </w:tcBorders>
            <w:vAlign w:val="center"/>
          </w:tcPr>
          <w:p w14:paraId="0ACA3F26">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分包情况</w:t>
            </w:r>
          </w:p>
        </w:tc>
        <w:tc>
          <w:tcPr>
            <w:tcW w:w="5534" w:type="dxa"/>
            <w:tcBorders>
              <w:top w:val="single" w:color="auto" w:sz="4" w:space="0"/>
              <w:left w:val="single" w:color="auto" w:sz="4" w:space="0"/>
              <w:bottom w:val="single" w:color="auto" w:sz="4" w:space="0"/>
              <w:right w:val="single" w:color="auto" w:sz="4" w:space="0"/>
            </w:tcBorders>
            <w:vAlign w:val="center"/>
          </w:tcPr>
          <w:p w14:paraId="3B1BD75F">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1个包</w:t>
            </w:r>
          </w:p>
        </w:tc>
      </w:tr>
      <w:tr w14:paraId="01DFDD9B">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14:paraId="6A6B41ED">
            <w:pPr>
              <w:jc w:val="center"/>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4</w:t>
            </w:r>
          </w:p>
        </w:tc>
        <w:tc>
          <w:tcPr>
            <w:tcW w:w="2793" w:type="dxa"/>
            <w:tcBorders>
              <w:top w:val="single" w:color="auto" w:sz="4" w:space="0"/>
              <w:left w:val="single" w:color="auto" w:sz="4" w:space="0"/>
              <w:bottom w:val="single" w:color="auto" w:sz="4" w:space="0"/>
              <w:right w:val="single" w:color="auto" w:sz="4" w:space="0"/>
            </w:tcBorders>
            <w:vAlign w:val="center"/>
          </w:tcPr>
          <w:p w14:paraId="05253E65">
            <w:pPr>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rPr>
              <w:t>资金来源以及资金构成</w:t>
            </w:r>
          </w:p>
        </w:tc>
        <w:tc>
          <w:tcPr>
            <w:tcW w:w="5534" w:type="dxa"/>
            <w:tcBorders>
              <w:top w:val="single" w:color="auto" w:sz="4" w:space="0"/>
              <w:left w:val="single" w:color="auto" w:sz="4" w:space="0"/>
              <w:bottom w:val="single" w:color="auto" w:sz="4" w:space="0"/>
              <w:right w:val="single" w:color="auto" w:sz="4" w:space="0"/>
            </w:tcBorders>
            <w:vAlign w:val="center"/>
          </w:tcPr>
          <w:p w14:paraId="1723E47A">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企业自筹</w:t>
            </w:r>
          </w:p>
        </w:tc>
      </w:tr>
      <w:tr w14:paraId="52349449">
        <w:tblPrEx>
          <w:tblCellMar>
            <w:top w:w="0" w:type="dxa"/>
            <w:left w:w="108" w:type="dxa"/>
            <w:bottom w:w="0" w:type="dxa"/>
            <w:right w:w="108" w:type="dxa"/>
          </w:tblCellMar>
        </w:tblPrEx>
        <w:trPr>
          <w:trHeight w:val="90" w:hRule="atLeast"/>
        </w:trPr>
        <w:tc>
          <w:tcPr>
            <w:tcW w:w="959" w:type="dxa"/>
            <w:tcBorders>
              <w:top w:val="single" w:color="auto" w:sz="4" w:space="0"/>
              <w:left w:val="single" w:color="auto" w:sz="4" w:space="0"/>
              <w:bottom w:val="single" w:color="auto" w:sz="4" w:space="0"/>
              <w:right w:val="single" w:color="auto" w:sz="4" w:space="0"/>
            </w:tcBorders>
            <w:vAlign w:val="center"/>
          </w:tcPr>
          <w:p w14:paraId="11D61FF3">
            <w:pPr>
              <w:spacing w:line="400" w:lineRule="exact"/>
              <w:jc w:val="center"/>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5</w:t>
            </w:r>
          </w:p>
        </w:tc>
        <w:tc>
          <w:tcPr>
            <w:tcW w:w="2793" w:type="dxa"/>
            <w:tcBorders>
              <w:top w:val="single" w:color="auto" w:sz="4" w:space="0"/>
              <w:left w:val="single" w:color="auto" w:sz="4" w:space="0"/>
              <w:bottom w:val="single" w:color="auto" w:sz="4" w:space="0"/>
              <w:right w:val="single" w:color="auto" w:sz="4" w:space="0"/>
            </w:tcBorders>
            <w:vAlign w:val="center"/>
          </w:tcPr>
          <w:p w14:paraId="50AA1BB3">
            <w:pPr>
              <w:spacing w:line="40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是否接受联合体谈判</w:t>
            </w:r>
          </w:p>
        </w:tc>
        <w:tc>
          <w:tcPr>
            <w:tcW w:w="5534" w:type="dxa"/>
            <w:tcBorders>
              <w:top w:val="single" w:color="auto" w:sz="4" w:space="0"/>
              <w:left w:val="single" w:color="auto" w:sz="4" w:space="0"/>
              <w:bottom w:val="single" w:color="auto" w:sz="4" w:space="0"/>
              <w:right w:val="single" w:color="auto" w:sz="4" w:space="0"/>
            </w:tcBorders>
            <w:vAlign w:val="center"/>
          </w:tcPr>
          <w:p w14:paraId="4DD8D2BD">
            <w:pPr>
              <w:spacing w:line="40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不接受</w:t>
            </w:r>
          </w:p>
        </w:tc>
      </w:tr>
      <w:tr w14:paraId="1849E9B0">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14:paraId="137A0B06">
            <w:pPr>
              <w:jc w:val="center"/>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6</w:t>
            </w:r>
          </w:p>
        </w:tc>
        <w:tc>
          <w:tcPr>
            <w:tcW w:w="2793" w:type="dxa"/>
            <w:tcBorders>
              <w:top w:val="single" w:color="auto" w:sz="4" w:space="0"/>
              <w:left w:val="single" w:color="auto" w:sz="4" w:space="0"/>
              <w:bottom w:val="single" w:color="auto" w:sz="4" w:space="0"/>
              <w:right w:val="single" w:color="auto" w:sz="4" w:space="0"/>
            </w:tcBorders>
            <w:vAlign w:val="center"/>
          </w:tcPr>
          <w:p w14:paraId="3738CFA3">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CN"/>
              </w:rPr>
              <w:t>响应有效期</w:t>
            </w:r>
          </w:p>
        </w:tc>
        <w:tc>
          <w:tcPr>
            <w:tcW w:w="5534" w:type="dxa"/>
            <w:tcBorders>
              <w:top w:val="single" w:color="auto" w:sz="4" w:space="0"/>
              <w:left w:val="single" w:color="auto" w:sz="4" w:space="0"/>
              <w:bottom w:val="single" w:color="auto" w:sz="4" w:space="0"/>
              <w:right w:val="single" w:color="auto" w:sz="4" w:space="0"/>
            </w:tcBorders>
            <w:vAlign w:val="center"/>
          </w:tcPr>
          <w:p w14:paraId="4A443E42">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自响应截止之日起</w:t>
            </w:r>
            <w:r>
              <w:rPr>
                <w:rFonts w:hint="eastAsia" w:ascii="仿宋_GB2312" w:hAnsi="仿宋_GB2312" w:eastAsia="仿宋_GB2312" w:cs="仿宋_GB2312"/>
                <w:sz w:val="24"/>
                <w:szCs w:val="24"/>
                <w:highlight w:val="none"/>
                <w:u w:val="single"/>
              </w:rPr>
              <w:t xml:space="preserve"> 90 </w:t>
            </w:r>
            <w:r>
              <w:rPr>
                <w:rFonts w:hint="eastAsia" w:ascii="仿宋_GB2312" w:hAnsi="仿宋_GB2312" w:eastAsia="仿宋_GB2312" w:cs="仿宋_GB2312"/>
                <w:sz w:val="24"/>
                <w:szCs w:val="24"/>
                <w:highlight w:val="none"/>
              </w:rPr>
              <w:t>个日历天。</w:t>
            </w:r>
          </w:p>
        </w:tc>
      </w:tr>
      <w:tr w14:paraId="5BF2CF12">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14:paraId="62B77C8B">
            <w:pPr>
              <w:jc w:val="center"/>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7</w:t>
            </w:r>
          </w:p>
        </w:tc>
        <w:tc>
          <w:tcPr>
            <w:tcW w:w="2793" w:type="dxa"/>
            <w:tcBorders>
              <w:top w:val="single" w:color="auto" w:sz="4" w:space="0"/>
              <w:left w:val="single" w:color="auto" w:sz="4" w:space="0"/>
              <w:bottom w:val="single" w:color="auto" w:sz="4" w:space="0"/>
              <w:right w:val="single" w:color="auto" w:sz="4" w:space="0"/>
            </w:tcBorders>
            <w:vAlign w:val="center"/>
          </w:tcPr>
          <w:p w14:paraId="6D1DAF85">
            <w:pPr>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踏勘现场</w:t>
            </w:r>
          </w:p>
        </w:tc>
        <w:tc>
          <w:tcPr>
            <w:tcW w:w="5534" w:type="dxa"/>
            <w:tcBorders>
              <w:top w:val="single" w:color="auto" w:sz="4" w:space="0"/>
              <w:left w:val="single" w:color="auto" w:sz="4" w:space="0"/>
              <w:bottom w:val="single" w:color="auto" w:sz="4" w:space="0"/>
              <w:right w:val="single" w:color="auto" w:sz="4" w:space="0"/>
            </w:tcBorders>
            <w:vAlign w:val="center"/>
          </w:tcPr>
          <w:p w14:paraId="1916A410">
            <w:pPr>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自行踏勘</w:t>
            </w:r>
          </w:p>
        </w:tc>
      </w:tr>
      <w:tr w14:paraId="52A7B186">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14:paraId="691F266B">
            <w:pPr>
              <w:jc w:val="center"/>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8</w:t>
            </w:r>
          </w:p>
        </w:tc>
        <w:tc>
          <w:tcPr>
            <w:tcW w:w="2793" w:type="dxa"/>
            <w:tcBorders>
              <w:top w:val="single" w:color="auto" w:sz="4" w:space="0"/>
              <w:left w:val="single" w:color="auto" w:sz="4" w:space="0"/>
              <w:bottom w:val="single" w:color="auto" w:sz="4" w:space="0"/>
              <w:right w:val="single" w:color="auto" w:sz="4" w:space="0"/>
            </w:tcBorders>
            <w:vAlign w:val="center"/>
          </w:tcPr>
          <w:p w14:paraId="74BD03C6">
            <w:pPr>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履约担保</w:t>
            </w:r>
          </w:p>
        </w:tc>
        <w:tc>
          <w:tcPr>
            <w:tcW w:w="5534" w:type="dxa"/>
            <w:tcBorders>
              <w:top w:val="single" w:color="auto" w:sz="4" w:space="0"/>
              <w:left w:val="single" w:color="auto" w:sz="4" w:space="0"/>
              <w:bottom w:val="single" w:color="auto" w:sz="4" w:space="0"/>
              <w:right w:val="single" w:color="auto" w:sz="4" w:space="0"/>
            </w:tcBorders>
            <w:vAlign w:val="center"/>
          </w:tcPr>
          <w:p w14:paraId="5B807A01">
            <w:pPr>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rPr>
              <w:t>无</w:t>
            </w:r>
          </w:p>
        </w:tc>
      </w:tr>
      <w:tr w14:paraId="79ED602D">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14:paraId="712F70A3">
            <w:pPr>
              <w:jc w:val="center"/>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9</w:t>
            </w:r>
          </w:p>
        </w:tc>
        <w:tc>
          <w:tcPr>
            <w:tcW w:w="2793" w:type="dxa"/>
            <w:tcBorders>
              <w:top w:val="single" w:color="auto" w:sz="4" w:space="0"/>
              <w:left w:val="single" w:color="auto" w:sz="4" w:space="0"/>
              <w:bottom w:val="single" w:color="auto" w:sz="4" w:space="0"/>
              <w:right w:val="single" w:color="auto" w:sz="4" w:space="0"/>
            </w:tcBorders>
            <w:vAlign w:val="center"/>
          </w:tcPr>
          <w:p w14:paraId="606827C3">
            <w:pPr>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rPr>
              <w:t>构成谈判文件的其他材料</w:t>
            </w:r>
          </w:p>
        </w:tc>
        <w:tc>
          <w:tcPr>
            <w:tcW w:w="5534" w:type="dxa"/>
            <w:tcBorders>
              <w:top w:val="single" w:color="auto" w:sz="4" w:space="0"/>
              <w:left w:val="single" w:color="auto" w:sz="4" w:space="0"/>
              <w:bottom w:val="single" w:color="auto" w:sz="4" w:space="0"/>
              <w:right w:val="single" w:color="auto" w:sz="4" w:space="0"/>
            </w:tcBorders>
            <w:vAlign w:val="center"/>
          </w:tcPr>
          <w:p w14:paraId="72B50F4C">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采购人依法依规对采购文件所作的澄清和修改，构成采购文件的组成部分。</w:t>
            </w:r>
          </w:p>
        </w:tc>
      </w:tr>
      <w:tr w14:paraId="0C62C929">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14:paraId="7FF2E559">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10</w:t>
            </w:r>
          </w:p>
        </w:tc>
        <w:tc>
          <w:tcPr>
            <w:tcW w:w="2793" w:type="dxa"/>
            <w:tcBorders>
              <w:top w:val="single" w:color="auto" w:sz="4" w:space="0"/>
              <w:left w:val="single" w:color="auto" w:sz="4" w:space="0"/>
              <w:bottom w:val="single" w:color="auto" w:sz="4" w:space="0"/>
              <w:right w:val="single" w:color="auto" w:sz="4" w:space="0"/>
            </w:tcBorders>
            <w:vAlign w:val="center"/>
          </w:tcPr>
          <w:p w14:paraId="6B5B6E1B">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供应商要求澄清谈判文件的截止时间</w:t>
            </w:r>
          </w:p>
        </w:tc>
        <w:tc>
          <w:tcPr>
            <w:tcW w:w="5534" w:type="dxa"/>
            <w:tcBorders>
              <w:top w:val="single" w:color="auto" w:sz="4" w:space="0"/>
              <w:left w:val="single" w:color="auto" w:sz="4" w:space="0"/>
              <w:bottom w:val="single" w:color="auto" w:sz="4" w:space="0"/>
              <w:right w:val="single" w:color="auto" w:sz="4" w:space="0"/>
            </w:tcBorders>
            <w:vAlign w:val="center"/>
          </w:tcPr>
          <w:p w14:paraId="15BD519B">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CN"/>
              </w:rPr>
              <w:t>谈判文件发售截止时间次日17点前</w:t>
            </w:r>
          </w:p>
        </w:tc>
      </w:tr>
      <w:tr w14:paraId="60A69E77">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14:paraId="004450BF">
            <w:pPr>
              <w:jc w:val="center"/>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11</w:t>
            </w:r>
          </w:p>
        </w:tc>
        <w:tc>
          <w:tcPr>
            <w:tcW w:w="2793" w:type="dxa"/>
            <w:tcBorders>
              <w:top w:val="single" w:color="auto" w:sz="4" w:space="0"/>
              <w:left w:val="single" w:color="auto" w:sz="4" w:space="0"/>
              <w:bottom w:val="single" w:color="auto" w:sz="4" w:space="0"/>
              <w:right w:val="single" w:color="auto" w:sz="4" w:space="0"/>
            </w:tcBorders>
            <w:vAlign w:val="center"/>
          </w:tcPr>
          <w:p w14:paraId="18228F64">
            <w:pPr>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rPr>
              <w:t>供应商确认收到谈判文件澄清或修改的时间</w:t>
            </w:r>
          </w:p>
        </w:tc>
        <w:tc>
          <w:tcPr>
            <w:tcW w:w="5534" w:type="dxa"/>
            <w:tcBorders>
              <w:top w:val="single" w:color="auto" w:sz="4" w:space="0"/>
              <w:left w:val="single" w:color="auto" w:sz="4" w:space="0"/>
              <w:bottom w:val="single" w:color="auto" w:sz="4" w:space="0"/>
              <w:right w:val="single" w:color="auto" w:sz="4" w:space="0"/>
            </w:tcBorders>
            <w:vAlign w:val="center"/>
          </w:tcPr>
          <w:p w14:paraId="263EC7D1">
            <w:pPr>
              <w:rPr>
                <w:rFonts w:hint="eastAsia" w:ascii="仿宋_GB2312" w:hAnsi="仿宋_GB2312" w:eastAsia="仿宋_GB2312" w:cs="仿宋_GB2312"/>
                <w:sz w:val="24"/>
                <w:szCs w:val="24"/>
                <w:highlight w:val="none"/>
                <w:u w:val="single"/>
                <w:lang w:val="zh-CN"/>
              </w:rPr>
            </w:pPr>
            <w:r>
              <w:rPr>
                <w:rFonts w:hint="eastAsia" w:ascii="仿宋_GB2312" w:hAnsi="仿宋_GB2312" w:eastAsia="仿宋_GB2312" w:cs="仿宋_GB2312"/>
                <w:sz w:val="24"/>
                <w:szCs w:val="24"/>
                <w:highlight w:val="none"/>
                <w:lang w:val="zh-CN"/>
              </w:rPr>
              <w:t>从澄清文件发布时间开始24小时内</w:t>
            </w:r>
          </w:p>
        </w:tc>
      </w:tr>
      <w:tr w14:paraId="210D1D98">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14:paraId="137BAAAF">
            <w:pPr>
              <w:jc w:val="center"/>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1</w:t>
            </w:r>
            <w:r>
              <w:rPr>
                <w:rFonts w:hint="eastAsia" w:ascii="仿宋_GB2312" w:hAnsi="仿宋_GB2312" w:eastAsia="仿宋_GB2312" w:cs="仿宋_GB2312"/>
                <w:sz w:val="24"/>
                <w:szCs w:val="24"/>
                <w:highlight w:val="none"/>
              </w:rPr>
              <w:t>2</w:t>
            </w:r>
          </w:p>
        </w:tc>
        <w:tc>
          <w:tcPr>
            <w:tcW w:w="2793" w:type="dxa"/>
            <w:tcBorders>
              <w:top w:val="single" w:color="auto" w:sz="4" w:space="0"/>
              <w:left w:val="single" w:color="auto" w:sz="4" w:space="0"/>
              <w:bottom w:val="single" w:color="auto" w:sz="4" w:space="0"/>
              <w:right w:val="single" w:color="auto" w:sz="4" w:space="0"/>
            </w:tcBorders>
            <w:vAlign w:val="center"/>
          </w:tcPr>
          <w:p w14:paraId="4782744C">
            <w:pPr>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响应截止时间</w:t>
            </w:r>
          </w:p>
        </w:tc>
        <w:tc>
          <w:tcPr>
            <w:tcW w:w="5534" w:type="dxa"/>
            <w:tcBorders>
              <w:top w:val="single" w:color="auto" w:sz="4" w:space="0"/>
              <w:left w:val="single" w:color="auto" w:sz="4" w:space="0"/>
              <w:bottom w:val="single" w:color="auto" w:sz="4" w:space="0"/>
              <w:right w:val="single" w:color="auto" w:sz="4" w:space="0"/>
            </w:tcBorders>
            <w:vAlign w:val="center"/>
          </w:tcPr>
          <w:p w14:paraId="6ABC1CC0">
            <w:pPr>
              <w:ind w:left="360" w:hanging="360"/>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rPr>
              <w:t>2024</w:t>
            </w:r>
            <w:r>
              <w:rPr>
                <w:rFonts w:hint="eastAsia" w:ascii="仿宋_GB2312" w:hAnsi="仿宋_GB2312" w:eastAsia="仿宋_GB2312" w:cs="仿宋_GB2312"/>
                <w:sz w:val="24"/>
                <w:szCs w:val="24"/>
                <w:highlight w:val="none"/>
                <w:lang w:val="zh-CN"/>
              </w:rPr>
              <w:t>年</w:t>
            </w:r>
            <w:r>
              <w:rPr>
                <w:rFonts w:hint="eastAsia" w:ascii="仿宋_GB2312" w:hAnsi="仿宋_GB2312" w:eastAsia="仿宋_GB2312" w:cs="仿宋_GB2312"/>
                <w:sz w:val="24"/>
                <w:szCs w:val="24"/>
                <w:highlight w:val="none"/>
                <w:lang w:val="en-US" w:eastAsia="zh-CN"/>
              </w:rPr>
              <w:t>12月31日</w:t>
            </w:r>
            <w:r>
              <w:rPr>
                <w:rFonts w:hint="eastAsia" w:ascii="仿宋_GB2312" w:hAnsi="仿宋_GB2312" w:eastAsia="仿宋_GB2312" w:cs="仿宋_GB2312"/>
                <w:kern w:val="1"/>
                <w:sz w:val="24"/>
                <w:szCs w:val="24"/>
                <w:highlight w:val="none"/>
              </w:rPr>
              <w:t>09</w:t>
            </w:r>
            <w:r>
              <w:rPr>
                <w:rFonts w:hint="eastAsia" w:ascii="仿宋_GB2312" w:hAnsi="仿宋_GB2312" w:eastAsia="仿宋_GB2312" w:cs="仿宋_GB2312"/>
                <w:sz w:val="24"/>
                <w:szCs w:val="24"/>
                <w:highlight w:val="none"/>
                <w:lang w:val="zh-CN"/>
              </w:rPr>
              <w:t>时</w:t>
            </w:r>
            <w:r>
              <w:rPr>
                <w:rFonts w:hint="eastAsia" w:ascii="仿宋_GB2312" w:hAnsi="仿宋_GB2312" w:eastAsia="仿宋_GB2312" w:cs="仿宋_GB2312"/>
                <w:kern w:val="1"/>
                <w:sz w:val="24"/>
                <w:szCs w:val="24"/>
                <w:highlight w:val="none"/>
              </w:rPr>
              <w:t>30</w:t>
            </w:r>
            <w:r>
              <w:rPr>
                <w:rFonts w:hint="eastAsia" w:ascii="仿宋_GB2312" w:hAnsi="仿宋_GB2312" w:eastAsia="仿宋_GB2312" w:cs="仿宋_GB2312"/>
                <w:sz w:val="24"/>
                <w:szCs w:val="24"/>
                <w:highlight w:val="none"/>
              </w:rPr>
              <w:t>分</w:t>
            </w:r>
          </w:p>
        </w:tc>
      </w:tr>
      <w:tr w14:paraId="74D5BD7D">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14:paraId="3F68DCC3">
            <w:pPr>
              <w:jc w:val="center"/>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13</w:t>
            </w:r>
          </w:p>
        </w:tc>
        <w:tc>
          <w:tcPr>
            <w:tcW w:w="2793" w:type="dxa"/>
            <w:tcBorders>
              <w:top w:val="single" w:color="auto" w:sz="4" w:space="0"/>
              <w:left w:val="single" w:color="auto" w:sz="4" w:space="0"/>
              <w:bottom w:val="single" w:color="auto" w:sz="4" w:space="0"/>
              <w:right w:val="single" w:color="auto" w:sz="4" w:space="0"/>
            </w:tcBorders>
            <w:vAlign w:val="center"/>
          </w:tcPr>
          <w:p w14:paraId="6F99A5C2">
            <w:pPr>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是否允许递交备选报价方案</w:t>
            </w:r>
          </w:p>
        </w:tc>
        <w:tc>
          <w:tcPr>
            <w:tcW w:w="5534" w:type="dxa"/>
            <w:tcBorders>
              <w:top w:val="single" w:color="auto" w:sz="4" w:space="0"/>
              <w:left w:val="single" w:color="auto" w:sz="4" w:space="0"/>
              <w:bottom w:val="single" w:color="auto" w:sz="4" w:space="0"/>
              <w:right w:val="single" w:color="auto" w:sz="4" w:space="0"/>
            </w:tcBorders>
            <w:vAlign w:val="center"/>
          </w:tcPr>
          <w:p w14:paraId="49CE69A7">
            <w:pPr>
              <w:rPr>
                <w:rFonts w:hint="eastAsia" w:ascii="仿宋_GB2312" w:hAnsi="仿宋_GB2312" w:eastAsia="仿宋_GB2312" w:cs="仿宋_GB2312"/>
                <w:sz w:val="24"/>
                <w:szCs w:val="24"/>
                <w:highlight w:val="none"/>
                <w:u w:val="single"/>
                <w:lang w:val="zh-CN"/>
              </w:rPr>
            </w:pPr>
            <w:r>
              <w:rPr>
                <w:rFonts w:hint="eastAsia" w:ascii="仿宋_GB2312" w:hAnsi="仿宋_GB2312" w:eastAsia="仿宋_GB2312" w:cs="仿宋_GB2312"/>
                <w:sz w:val="24"/>
                <w:szCs w:val="24"/>
                <w:highlight w:val="none"/>
                <w:lang w:val="zh-CN"/>
              </w:rPr>
              <w:t>不允许</w:t>
            </w:r>
            <w:bookmarkStart w:id="31" w:name="_GoBack"/>
            <w:bookmarkEnd w:id="31"/>
          </w:p>
        </w:tc>
      </w:tr>
      <w:tr w14:paraId="6F1584A7">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14:paraId="547D15C4">
            <w:pPr>
              <w:jc w:val="center"/>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14</w:t>
            </w:r>
          </w:p>
        </w:tc>
        <w:tc>
          <w:tcPr>
            <w:tcW w:w="2793" w:type="dxa"/>
            <w:tcBorders>
              <w:top w:val="single" w:color="auto" w:sz="4" w:space="0"/>
              <w:left w:val="single" w:color="auto" w:sz="4" w:space="0"/>
              <w:bottom w:val="single" w:color="auto" w:sz="4" w:space="0"/>
              <w:right w:val="single" w:color="auto" w:sz="4" w:space="0"/>
            </w:tcBorders>
            <w:vAlign w:val="center"/>
          </w:tcPr>
          <w:p w14:paraId="090D52F6">
            <w:pPr>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响应报价的范围</w:t>
            </w:r>
          </w:p>
        </w:tc>
        <w:tc>
          <w:tcPr>
            <w:tcW w:w="5534" w:type="dxa"/>
            <w:tcBorders>
              <w:top w:val="single" w:color="auto" w:sz="4" w:space="0"/>
              <w:left w:val="single" w:color="auto" w:sz="4" w:space="0"/>
              <w:bottom w:val="single" w:color="auto" w:sz="4" w:space="0"/>
              <w:right w:val="single" w:color="auto" w:sz="4" w:space="0"/>
            </w:tcBorders>
            <w:vAlign w:val="center"/>
          </w:tcPr>
          <w:p w14:paraId="59A6D7AA">
            <w:pPr>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含税全包价，</w:t>
            </w:r>
            <w:r>
              <w:rPr>
                <w:rFonts w:hint="eastAsia" w:ascii="仿宋_GB2312" w:hAnsi="仿宋_GB2312" w:eastAsia="仿宋_GB2312" w:cs="仿宋_GB2312"/>
                <w:sz w:val="24"/>
                <w:highlight w:val="none"/>
                <w:lang w:val="zh-CN"/>
              </w:rPr>
              <w:t>包含提供相关服务的所有费用。</w:t>
            </w:r>
          </w:p>
        </w:tc>
      </w:tr>
      <w:tr w14:paraId="7795749F">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14:paraId="7FB9EEC1">
            <w:pPr>
              <w:jc w:val="center"/>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15</w:t>
            </w:r>
          </w:p>
        </w:tc>
        <w:tc>
          <w:tcPr>
            <w:tcW w:w="2793" w:type="dxa"/>
            <w:tcBorders>
              <w:top w:val="single" w:color="auto" w:sz="4" w:space="0"/>
              <w:left w:val="single" w:color="auto" w:sz="4" w:space="0"/>
              <w:bottom w:val="single" w:color="auto" w:sz="4" w:space="0"/>
              <w:right w:val="single" w:color="auto" w:sz="4" w:space="0"/>
            </w:tcBorders>
            <w:vAlign w:val="center"/>
          </w:tcPr>
          <w:p w14:paraId="7F08BB72">
            <w:pPr>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响应报价的次数</w:t>
            </w:r>
          </w:p>
        </w:tc>
        <w:tc>
          <w:tcPr>
            <w:tcW w:w="5534" w:type="dxa"/>
            <w:tcBorders>
              <w:top w:val="single" w:color="auto" w:sz="4" w:space="0"/>
              <w:left w:val="single" w:color="auto" w:sz="4" w:space="0"/>
              <w:bottom w:val="single" w:color="auto" w:sz="4" w:space="0"/>
              <w:right w:val="single" w:color="auto" w:sz="4" w:space="0"/>
            </w:tcBorders>
            <w:vAlign w:val="center"/>
          </w:tcPr>
          <w:p w14:paraId="40E691B7">
            <w:pPr>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rPr>
              <w:t>本次响应报价实行三轮报价，第一轮为供应商响应文件报价，第三轮报价为最终报价。</w:t>
            </w:r>
          </w:p>
        </w:tc>
      </w:tr>
      <w:tr w14:paraId="5E4B0D7C">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14:paraId="00108559">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16</w:t>
            </w:r>
          </w:p>
        </w:tc>
        <w:tc>
          <w:tcPr>
            <w:tcW w:w="2793" w:type="dxa"/>
            <w:tcBorders>
              <w:top w:val="single" w:color="auto" w:sz="4" w:space="0"/>
              <w:left w:val="single" w:color="auto" w:sz="4" w:space="0"/>
              <w:bottom w:val="single" w:color="auto" w:sz="4" w:space="0"/>
              <w:right w:val="single" w:color="auto" w:sz="4" w:space="0"/>
            </w:tcBorders>
            <w:vAlign w:val="center"/>
          </w:tcPr>
          <w:p w14:paraId="3234B54B">
            <w:pPr>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响应文件编制装订</w:t>
            </w:r>
          </w:p>
        </w:tc>
        <w:tc>
          <w:tcPr>
            <w:tcW w:w="5534" w:type="dxa"/>
            <w:tcBorders>
              <w:top w:val="single" w:color="auto" w:sz="4" w:space="0"/>
              <w:left w:val="single" w:color="auto" w:sz="4" w:space="0"/>
              <w:bottom w:val="single" w:color="auto" w:sz="4" w:space="0"/>
              <w:right w:val="single" w:color="auto" w:sz="4" w:space="0"/>
            </w:tcBorders>
            <w:vAlign w:val="center"/>
          </w:tcPr>
          <w:p w14:paraId="2924243E">
            <w:pPr>
              <w:ind w:firstLine="480" w:firstLineChars="200"/>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1.响应文件的技术部分和商务部分装订成一册。</w:t>
            </w:r>
          </w:p>
          <w:p w14:paraId="6BFBC843">
            <w:pPr>
              <w:ind w:firstLine="480" w:firstLineChars="200"/>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rPr>
              <w:t>2.响应文件内容。供应商应按照谈判文件的要求编写响应文件。对谈判文件要求填写的表格或者资料不得缺少或者留空，响应文件不得加行、涂改、插字或者删除。</w:t>
            </w:r>
          </w:p>
          <w:p w14:paraId="16A19E6B">
            <w:pPr>
              <w:ind w:firstLine="480" w:firstLineChars="200"/>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rPr>
              <w:t>3</w:t>
            </w:r>
            <w:r>
              <w:rPr>
                <w:rFonts w:hint="eastAsia" w:ascii="仿宋_GB2312" w:hAnsi="仿宋_GB2312" w:eastAsia="仿宋_GB2312" w:cs="仿宋_GB2312"/>
                <w:sz w:val="24"/>
                <w:szCs w:val="24"/>
                <w:highlight w:val="none"/>
                <w:lang w:val="zh-CN"/>
              </w:rPr>
              <w:t>.</w:t>
            </w:r>
            <w:r>
              <w:rPr>
                <w:rFonts w:hint="eastAsia" w:ascii="仿宋_GB2312" w:hAnsi="仿宋_GB2312" w:eastAsia="仿宋_GB2312" w:cs="仿宋_GB2312"/>
                <w:kern w:val="1"/>
                <w:sz w:val="24"/>
                <w:szCs w:val="24"/>
                <w:highlight w:val="none"/>
              </w:rPr>
              <w:t>响应文件正文用白色A4复印纸打印，并编制目录，目录、内容标注连续页码，页码从目录编起，标注于页面底部居中位置。授权书、</w:t>
            </w:r>
            <w:r>
              <w:rPr>
                <w:rFonts w:hint="eastAsia" w:ascii="仿宋_GB2312" w:hAnsi="仿宋_GB2312" w:eastAsia="仿宋_GB2312" w:cs="仿宋_GB2312"/>
                <w:sz w:val="24"/>
                <w:szCs w:val="24"/>
                <w:highlight w:val="none"/>
                <w:lang w:val="zh-CN"/>
              </w:rPr>
              <w:t>说明书、彩页、图纸、图片等非文本形式的内容，可以不标注页码，应将这些材料放置在技术文件中，折叠成A4纸面大小，左、下侧对齐，左侧装订成册。</w:t>
            </w:r>
          </w:p>
        </w:tc>
      </w:tr>
      <w:tr w14:paraId="3FF118BF">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14:paraId="0448A0AF">
            <w:pPr>
              <w:jc w:val="center"/>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rPr>
              <w:t>17</w:t>
            </w:r>
          </w:p>
        </w:tc>
        <w:tc>
          <w:tcPr>
            <w:tcW w:w="2793" w:type="dxa"/>
            <w:tcBorders>
              <w:top w:val="single" w:color="auto" w:sz="4" w:space="0"/>
              <w:left w:val="single" w:color="auto" w:sz="4" w:space="0"/>
              <w:bottom w:val="single" w:color="auto" w:sz="4" w:space="0"/>
              <w:right w:val="single" w:color="auto" w:sz="4" w:space="0"/>
            </w:tcBorders>
            <w:vAlign w:val="center"/>
          </w:tcPr>
          <w:p w14:paraId="59FF9871">
            <w:pPr>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响应文件签署和盖章</w:t>
            </w:r>
          </w:p>
        </w:tc>
        <w:tc>
          <w:tcPr>
            <w:tcW w:w="5534" w:type="dxa"/>
            <w:tcBorders>
              <w:top w:val="single" w:color="auto" w:sz="4" w:space="0"/>
              <w:left w:val="single" w:color="auto" w:sz="4" w:space="0"/>
              <w:bottom w:val="single" w:color="auto" w:sz="4" w:space="0"/>
              <w:right w:val="single" w:color="auto" w:sz="4" w:space="0"/>
            </w:tcBorders>
            <w:vAlign w:val="center"/>
          </w:tcPr>
          <w:p w14:paraId="044ECE45">
            <w:pPr>
              <w:ind w:firstLine="480" w:firstLineChars="200"/>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1.谈判文件要求供应商法定代表人或者被授权代表签字处，均须本人用黑色签字笔签署（包括姓和名）并加盖单位公章，不得用签名章、签字章等代替，也不得由他人代签。</w:t>
            </w:r>
          </w:p>
          <w:p w14:paraId="711750EA">
            <w:pPr>
              <w:ind w:firstLine="480" w:firstLineChars="200"/>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2.被授权代表人签字的，响应文件应附法人授权委托书。</w:t>
            </w:r>
          </w:p>
          <w:p w14:paraId="34BAB89D">
            <w:pPr>
              <w:ind w:firstLine="480" w:firstLineChars="200"/>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3. “法人授权委托书”必须由法定代表人签署。</w:t>
            </w:r>
          </w:p>
          <w:p w14:paraId="4E191CD7">
            <w:pPr>
              <w:ind w:firstLine="480" w:firstLineChars="200"/>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rPr>
              <w:t>4.</w:t>
            </w:r>
            <w:r>
              <w:rPr>
                <w:rFonts w:hint="eastAsia" w:ascii="仿宋_GB2312" w:hAnsi="仿宋_GB2312" w:eastAsia="仿宋_GB2312" w:cs="仿宋_GB2312"/>
                <w:sz w:val="24"/>
                <w:szCs w:val="24"/>
                <w:highlight w:val="none"/>
                <w:lang w:val="zh-CN"/>
              </w:rPr>
              <w:t>供应商在响应文件以及相关书面文件中的单位盖章（包括印章、公章等）均指与供应商名称全称相一致的标准公章，不得使用其他形式（如带有“专用章”、“合同章”、“财务章”、“业务章”等）的印章。</w:t>
            </w:r>
          </w:p>
          <w:p w14:paraId="5BC80BC4">
            <w:pPr>
              <w:ind w:firstLine="482" w:firstLineChars="200"/>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b/>
                <w:bCs/>
                <w:sz w:val="24"/>
                <w:szCs w:val="24"/>
                <w:highlight w:val="none"/>
                <w:lang w:val="zh-CN"/>
              </w:rPr>
              <w:t>5.供应商应同时提交响应文件的电子版扫描件（要求U盘或光盘可读写，内容清晰可辨、签章齐全，PDF格式）。</w:t>
            </w:r>
          </w:p>
        </w:tc>
      </w:tr>
      <w:tr w14:paraId="321D412D">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14:paraId="51503382">
            <w:pPr>
              <w:jc w:val="center"/>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rPr>
              <w:t>18</w:t>
            </w:r>
          </w:p>
        </w:tc>
        <w:tc>
          <w:tcPr>
            <w:tcW w:w="2793" w:type="dxa"/>
            <w:tcBorders>
              <w:top w:val="single" w:color="auto" w:sz="4" w:space="0"/>
              <w:left w:val="single" w:color="auto" w:sz="4" w:space="0"/>
              <w:bottom w:val="single" w:color="auto" w:sz="4" w:space="0"/>
              <w:right w:val="single" w:color="auto" w:sz="4" w:space="0"/>
            </w:tcBorders>
            <w:vAlign w:val="center"/>
          </w:tcPr>
          <w:p w14:paraId="38DB09E8">
            <w:pPr>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响应文件份数及要求</w:t>
            </w:r>
          </w:p>
        </w:tc>
        <w:tc>
          <w:tcPr>
            <w:tcW w:w="5534" w:type="dxa"/>
            <w:tcBorders>
              <w:top w:val="single" w:color="auto" w:sz="4" w:space="0"/>
              <w:left w:val="single" w:color="auto" w:sz="4" w:space="0"/>
              <w:bottom w:val="single" w:color="auto" w:sz="4" w:space="0"/>
              <w:right w:val="single" w:color="auto" w:sz="4" w:space="0"/>
            </w:tcBorders>
            <w:vAlign w:val="center"/>
          </w:tcPr>
          <w:p w14:paraId="2A7E34A0">
            <w:pPr>
              <w:ind w:firstLine="480" w:firstLineChars="200"/>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响应文件应按包分别进行编制：</w:t>
            </w:r>
          </w:p>
          <w:p w14:paraId="7FCDF93E">
            <w:pPr>
              <w:ind w:firstLine="480" w:firstLineChars="200"/>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1.响应文件正本壹份，副本</w:t>
            </w:r>
            <w:r>
              <w:rPr>
                <w:rFonts w:hint="eastAsia" w:ascii="仿宋_GB2312" w:hAnsi="仿宋_GB2312" w:eastAsia="仿宋_GB2312" w:cs="仿宋_GB2312"/>
                <w:sz w:val="24"/>
                <w:szCs w:val="24"/>
                <w:highlight w:val="none"/>
                <w:u w:val="single"/>
                <w:lang w:val="zh-CN"/>
              </w:rPr>
              <w:t>贰</w:t>
            </w:r>
            <w:r>
              <w:rPr>
                <w:rFonts w:hint="eastAsia" w:ascii="仿宋_GB2312" w:hAnsi="仿宋_GB2312" w:eastAsia="仿宋_GB2312" w:cs="仿宋_GB2312"/>
                <w:sz w:val="24"/>
                <w:szCs w:val="24"/>
                <w:highlight w:val="none"/>
                <w:lang w:val="zh-CN"/>
              </w:rPr>
              <w:t>份。正本和副本的封面上应当清楚地标记“正本”或者“副本”字样。正本和副本不一致时，以正本为准。</w:t>
            </w:r>
          </w:p>
          <w:p w14:paraId="7F6B653B">
            <w:pPr>
              <w:ind w:firstLine="480" w:firstLineChars="200"/>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2.资格、资信等证明文件要求见“第三章”。</w:t>
            </w:r>
          </w:p>
        </w:tc>
      </w:tr>
      <w:tr w14:paraId="249E6B54">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14:paraId="6B0D6864">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19</w:t>
            </w:r>
          </w:p>
        </w:tc>
        <w:tc>
          <w:tcPr>
            <w:tcW w:w="2793" w:type="dxa"/>
            <w:tcBorders>
              <w:top w:val="single" w:color="auto" w:sz="4" w:space="0"/>
              <w:left w:val="single" w:color="auto" w:sz="4" w:space="0"/>
              <w:bottom w:val="single" w:color="auto" w:sz="4" w:space="0"/>
              <w:right w:val="single" w:color="auto" w:sz="4" w:space="0"/>
            </w:tcBorders>
            <w:vAlign w:val="center"/>
          </w:tcPr>
          <w:p w14:paraId="40BFB783">
            <w:pPr>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响应文件密封和标记</w:t>
            </w:r>
          </w:p>
        </w:tc>
        <w:tc>
          <w:tcPr>
            <w:tcW w:w="5534" w:type="dxa"/>
            <w:tcBorders>
              <w:top w:val="single" w:color="auto" w:sz="4" w:space="0"/>
              <w:left w:val="single" w:color="auto" w:sz="4" w:space="0"/>
              <w:bottom w:val="single" w:color="auto" w:sz="4" w:space="0"/>
              <w:right w:val="single" w:color="auto" w:sz="4" w:space="0"/>
            </w:tcBorders>
            <w:vAlign w:val="center"/>
          </w:tcPr>
          <w:p w14:paraId="727BE817">
            <w:pPr>
              <w:ind w:firstLine="480" w:firstLineChars="200"/>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1.两个密封件，分别是：</w:t>
            </w:r>
            <w:r>
              <w:rPr>
                <w:rFonts w:hint="eastAsia" w:ascii="仿宋_GB2312" w:hAnsi="仿宋_GB2312" w:eastAsia="仿宋_GB2312" w:cs="仿宋_GB2312"/>
                <w:sz w:val="24"/>
                <w:szCs w:val="24"/>
                <w:highlight w:val="none"/>
                <w:u w:val="single"/>
                <w:lang w:val="zh-CN"/>
              </w:rPr>
              <w:t>响应文件密封件和资格、资信等证明文件密封件</w:t>
            </w:r>
            <w:r>
              <w:rPr>
                <w:rFonts w:hint="eastAsia" w:ascii="仿宋_GB2312" w:hAnsi="仿宋_GB2312" w:eastAsia="仿宋_GB2312" w:cs="仿宋_GB2312"/>
                <w:sz w:val="24"/>
                <w:szCs w:val="24"/>
                <w:highlight w:val="none"/>
                <w:lang w:val="zh-CN"/>
              </w:rPr>
              <w:t>。</w:t>
            </w:r>
          </w:p>
          <w:p w14:paraId="27DEF4BE">
            <w:pPr>
              <w:ind w:firstLine="480" w:firstLineChars="200"/>
              <w:rPr>
                <w:rFonts w:hint="eastAsia" w:ascii="仿宋_GB2312" w:hAnsi="仿宋_GB2312" w:eastAsia="仿宋_GB2312" w:cs="仿宋_GB2312"/>
                <w:kern w:val="1"/>
                <w:sz w:val="24"/>
                <w:szCs w:val="24"/>
                <w:highlight w:val="none"/>
              </w:rPr>
            </w:pPr>
            <w:r>
              <w:rPr>
                <w:rFonts w:hint="eastAsia" w:ascii="仿宋_GB2312" w:hAnsi="仿宋_GB2312" w:eastAsia="仿宋_GB2312" w:cs="仿宋_GB2312"/>
                <w:kern w:val="1"/>
                <w:sz w:val="24"/>
                <w:szCs w:val="24"/>
                <w:highlight w:val="none"/>
              </w:rPr>
              <w:t>注：一个密封件确实无法密封的，可分开密封。</w:t>
            </w:r>
          </w:p>
          <w:p w14:paraId="06A92CB7">
            <w:pPr>
              <w:wordWrap w:val="0"/>
              <w:ind w:firstLine="480" w:firstLineChars="200"/>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2.密封件封套上标明采购项目编号、项目名称以及包、供应商名称等，在所有封签处标注“请勿在</w:t>
            </w:r>
            <w:r>
              <w:rPr>
                <w:rFonts w:hint="eastAsia" w:ascii="仿宋_GB2312" w:hAnsi="仿宋_GB2312" w:eastAsia="仿宋_GB2312" w:cs="仿宋_GB2312"/>
                <w:sz w:val="24"/>
                <w:szCs w:val="24"/>
                <w:highlight w:val="none"/>
                <w:u w:val="single"/>
                <w:lang w:val="zh-CN"/>
              </w:rPr>
              <w:t xml:space="preserve"> </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zh-CN"/>
              </w:rPr>
              <w:t xml:space="preserve"> </w:t>
            </w:r>
            <w:r>
              <w:rPr>
                <w:rFonts w:hint="eastAsia" w:ascii="仿宋_GB2312" w:hAnsi="仿宋_GB2312" w:eastAsia="仿宋_GB2312" w:cs="仿宋_GB2312"/>
                <w:sz w:val="24"/>
                <w:szCs w:val="24"/>
                <w:highlight w:val="none"/>
                <w:lang w:val="zh-CN"/>
              </w:rPr>
              <w:t>年</w:t>
            </w:r>
            <w:r>
              <w:rPr>
                <w:rFonts w:hint="eastAsia" w:ascii="仿宋_GB2312" w:hAnsi="仿宋_GB2312" w:eastAsia="仿宋_GB2312" w:cs="仿宋_GB2312"/>
                <w:sz w:val="24"/>
                <w:szCs w:val="24"/>
                <w:highlight w:val="none"/>
                <w:u w:val="single"/>
                <w:lang w:val="zh-CN"/>
              </w:rPr>
              <w:t xml:space="preserve"> </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zh-CN"/>
              </w:rPr>
              <w:t xml:space="preserve"> </w:t>
            </w:r>
            <w:r>
              <w:rPr>
                <w:rFonts w:hint="eastAsia" w:ascii="仿宋_GB2312" w:hAnsi="仿宋_GB2312" w:eastAsia="仿宋_GB2312" w:cs="仿宋_GB2312"/>
                <w:sz w:val="24"/>
                <w:szCs w:val="24"/>
                <w:highlight w:val="none"/>
                <w:lang w:val="zh-CN"/>
              </w:rPr>
              <w:t>月</w:t>
            </w:r>
            <w:r>
              <w:rPr>
                <w:rFonts w:hint="eastAsia" w:ascii="仿宋_GB2312" w:hAnsi="仿宋_GB2312" w:eastAsia="仿宋_GB2312" w:cs="仿宋_GB2312"/>
                <w:sz w:val="24"/>
                <w:szCs w:val="24"/>
                <w:highlight w:val="none"/>
                <w:u w:val="single"/>
                <w:lang w:val="zh-CN"/>
              </w:rPr>
              <w:t xml:space="preserve"> </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zh-CN"/>
              </w:rPr>
              <w:t xml:space="preserve"> </w:t>
            </w:r>
            <w:r>
              <w:rPr>
                <w:rFonts w:hint="eastAsia" w:ascii="仿宋_GB2312" w:hAnsi="仿宋_GB2312" w:eastAsia="仿宋_GB2312" w:cs="仿宋_GB2312"/>
                <w:sz w:val="24"/>
                <w:szCs w:val="24"/>
                <w:highlight w:val="none"/>
                <w:lang w:val="zh-CN"/>
              </w:rPr>
              <w:t>日</w:t>
            </w:r>
            <w:r>
              <w:rPr>
                <w:rFonts w:hint="eastAsia" w:ascii="仿宋_GB2312" w:hAnsi="仿宋_GB2312" w:eastAsia="仿宋_GB2312" w:cs="仿宋_GB2312"/>
                <w:sz w:val="24"/>
                <w:szCs w:val="24"/>
                <w:highlight w:val="none"/>
                <w:u w:val="single"/>
                <w:lang w:val="zh-CN"/>
              </w:rPr>
              <w:t xml:space="preserve"> </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zh-CN"/>
              </w:rPr>
              <w:t xml:space="preserve"> </w:t>
            </w:r>
            <w:r>
              <w:rPr>
                <w:rFonts w:hint="eastAsia" w:ascii="仿宋_GB2312" w:hAnsi="仿宋_GB2312" w:eastAsia="仿宋_GB2312" w:cs="仿宋_GB2312"/>
                <w:sz w:val="24"/>
                <w:szCs w:val="24"/>
                <w:highlight w:val="none"/>
                <w:lang w:val="zh-CN"/>
              </w:rPr>
              <w:t>时</w:t>
            </w:r>
            <w:r>
              <w:rPr>
                <w:rFonts w:hint="eastAsia" w:ascii="仿宋_GB2312" w:hAnsi="仿宋_GB2312" w:eastAsia="仿宋_GB2312" w:cs="仿宋_GB2312"/>
                <w:sz w:val="24"/>
                <w:szCs w:val="24"/>
                <w:highlight w:val="none"/>
                <w:u w:val="single"/>
                <w:lang w:val="zh-CN"/>
              </w:rPr>
              <w:t xml:space="preserve"> </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zh-CN"/>
              </w:rPr>
              <w:t xml:space="preserve"> </w:t>
            </w:r>
            <w:r>
              <w:rPr>
                <w:rFonts w:hint="eastAsia" w:ascii="仿宋_GB2312" w:hAnsi="仿宋_GB2312" w:eastAsia="仿宋_GB2312" w:cs="仿宋_GB2312"/>
                <w:sz w:val="24"/>
                <w:szCs w:val="24"/>
                <w:highlight w:val="none"/>
              </w:rPr>
              <w:t>分</w:t>
            </w:r>
            <w:r>
              <w:rPr>
                <w:rFonts w:hint="eastAsia" w:ascii="仿宋_GB2312" w:hAnsi="仿宋_GB2312" w:eastAsia="仿宋_GB2312" w:cs="仿宋_GB2312"/>
                <w:sz w:val="24"/>
                <w:szCs w:val="24"/>
                <w:highlight w:val="none"/>
                <w:lang w:val="zh-CN"/>
              </w:rPr>
              <w:t>之前启封”字样，并加盖供应商单位公章以及法定代表人或者被授权代表签字。</w:t>
            </w:r>
          </w:p>
          <w:p w14:paraId="3A108CB2">
            <w:pPr>
              <w:wordWrap w:val="0"/>
              <w:ind w:firstLine="482" w:firstLineChars="200"/>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b/>
                <w:bCs/>
                <w:sz w:val="24"/>
                <w:szCs w:val="24"/>
                <w:highlight w:val="none"/>
                <w:lang w:val="zh-CN"/>
              </w:rPr>
              <w:t>3．法定代表人身份证明原件和本人身份证原件或法定代表人授权委托书原件和本人身份证原件应当在递交响应文件时出示并提交，不允许放在密封件中。</w:t>
            </w:r>
          </w:p>
        </w:tc>
      </w:tr>
      <w:tr w14:paraId="39D0F4C4">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14:paraId="0D6738D0">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20</w:t>
            </w:r>
          </w:p>
        </w:tc>
        <w:tc>
          <w:tcPr>
            <w:tcW w:w="2793" w:type="dxa"/>
            <w:tcBorders>
              <w:top w:val="single" w:color="auto" w:sz="4" w:space="0"/>
              <w:left w:val="single" w:color="auto" w:sz="4" w:space="0"/>
              <w:bottom w:val="single" w:color="auto" w:sz="4" w:space="0"/>
              <w:right w:val="single" w:color="auto" w:sz="4" w:space="0"/>
            </w:tcBorders>
            <w:vAlign w:val="center"/>
          </w:tcPr>
          <w:p w14:paraId="4F4B6806">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递交响应文件时间、地点及要求</w:t>
            </w:r>
          </w:p>
        </w:tc>
        <w:tc>
          <w:tcPr>
            <w:tcW w:w="5534" w:type="dxa"/>
            <w:tcBorders>
              <w:top w:val="single" w:color="auto" w:sz="4" w:space="0"/>
              <w:left w:val="single" w:color="auto" w:sz="4" w:space="0"/>
              <w:bottom w:val="single" w:color="auto" w:sz="4" w:space="0"/>
              <w:right w:val="single" w:color="auto" w:sz="4" w:space="0"/>
            </w:tcBorders>
            <w:vAlign w:val="center"/>
          </w:tcPr>
          <w:p w14:paraId="41E1E286">
            <w:pPr>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时间：</w:t>
            </w:r>
            <w:r>
              <w:rPr>
                <w:rFonts w:hint="eastAsia" w:ascii="仿宋_GB2312" w:hAnsi="仿宋_GB2312" w:eastAsia="仿宋_GB2312" w:cs="仿宋_GB2312"/>
                <w:sz w:val="24"/>
                <w:szCs w:val="24"/>
                <w:highlight w:val="none"/>
                <w:lang w:eastAsia="zh-CN"/>
              </w:rPr>
              <w:t>2024年</w:t>
            </w:r>
            <w:r>
              <w:rPr>
                <w:rFonts w:hint="eastAsia" w:ascii="仿宋_GB2312" w:hAnsi="仿宋_GB2312" w:eastAsia="仿宋_GB2312" w:cs="仿宋_GB2312"/>
                <w:sz w:val="24"/>
                <w:szCs w:val="24"/>
                <w:highlight w:val="none"/>
                <w:lang w:val="en-US" w:eastAsia="zh-CN"/>
              </w:rPr>
              <w:t>12月31日</w:t>
            </w:r>
            <w:r>
              <w:rPr>
                <w:rFonts w:hint="eastAsia" w:ascii="仿宋_GB2312" w:hAnsi="仿宋_GB2312" w:eastAsia="仿宋_GB2312" w:cs="仿宋_GB2312"/>
                <w:sz w:val="24"/>
                <w:szCs w:val="24"/>
                <w:highlight w:val="none"/>
              </w:rPr>
              <w:t>09时00分至09时30分</w:t>
            </w:r>
            <w:r>
              <w:rPr>
                <w:rFonts w:hint="eastAsia" w:ascii="仿宋_GB2312" w:hAnsi="仿宋_GB2312" w:eastAsia="仿宋_GB2312" w:cs="仿宋_GB2312"/>
                <w:sz w:val="24"/>
                <w:szCs w:val="24"/>
                <w:highlight w:val="none"/>
                <w:lang w:val="zh-CN"/>
              </w:rPr>
              <w:t>。</w:t>
            </w:r>
          </w:p>
          <w:p w14:paraId="0A9776CC">
            <w:pPr>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地点：</w:t>
            </w:r>
            <w:r>
              <w:rPr>
                <w:rFonts w:hint="eastAsia" w:ascii="仿宋_GB2312" w:hAnsi="仿宋_GB2312" w:eastAsia="仿宋_GB2312" w:cs="仿宋_GB2312"/>
                <w:kern w:val="1"/>
                <w:sz w:val="24"/>
                <w:szCs w:val="24"/>
                <w:highlight w:val="none"/>
              </w:rPr>
              <w:t>四流北路78号青岛碱厂办公区西办公楼</w:t>
            </w:r>
            <w:r>
              <w:rPr>
                <w:rFonts w:hint="eastAsia" w:ascii="仿宋_GB2312" w:hAnsi="仿宋_GB2312" w:eastAsia="仿宋_GB2312" w:cs="仿宋_GB2312"/>
                <w:sz w:val="24"/>
                <w:szCs w:val="24"/>
                <w:highlight w:val="none"/>
              </w:rPr>
              <w:t>2楼206室</w:t>
            </w:r>
            <w:r>
              <w:rPr>
                <w:rFonts w:hint="eastAsia" w:ascii="仿宋_GB2312" w:hAnsi="仿宋_GB2312" w:eastAsia="仿宋_GB2312" w:cs="仿宋_GB2312"/>
                <w:sz w:val="24"/>
                <w:szCs w:val="24"/>
                <w:highlight w:val="none"/>
                <w:lang w:val="zh-CN"/>
              </w:rPr>
              <w:t xml:space="preserve">。 </w:t>
            </w:r>
          </w:p>
          <w:p w14:paraId="77DB602A">
            <w:pPr>
              <w:tabs>
                <w:tab w:val="left" w:pos="360"/>
              </w:tabs>
              <w:rPr>
                <w:rFonts w:hint="eastAsia" w:ascii="仿宋_GB2312" w:hAnsi="仿宋_GB2312" w:eastAsia="仿宋_GB2312" w:cs="仿宋_GB2312"/>
                <w:b/>
                <w:sz w:val="24"/>
                <w:highlight w:val="none"/>
                <w:lang w:val="zh-CN"/>
              </w:rPr>
            </w:pPr>
            <w:r>
              <w:rPr>
                <w:rFonts w:hint="eastAsia" w:ascii="仿宋_GB2312" w:hAnsi="仿宋_GB2312" w:eastAsia="仿宋_GB2312" w:cs="仿宋_GB2312"/>
                <w:b/>
                <w:sz w:val="24"/>
                <w:highlight w:val="none"/>
                <w:lang w:val="zh-CN"/>
              </w:rPr>
              <w:t>供应商应当在磋商文件要求递交响应文件的截止时间前，将响应文件密封送达开标地点。</w:t>
            </w:r>
          </w:p>
          <w:p w14:paraId="1474809A">
            <w:pPr>
              <w:tabs>
                <w:tab w:val="left" w:pos="360"/>
              </w:tabs>
              <w:rPr>
                <w:rFonts w:hint="eastAsia" w:ascii="仿宋_GB2312" w:hAnsi="仿宋_GB2312" w:eastAsia="仿宋_GB2312" w:cs="仿宋_GB2312"/>
                <w:b/>
                <w:sz w:val="24"/>
                <w:highlight w:val="none"/>
                <w:lang w:val="zh-CN"/>
              </w:rPr>
            </w:pPr>
            <w:r>
              <w:rPr>
                <w:rFonts w:hint="eastAsia" w:ascii="仿宋_GB2312" w:hAnsi="仿宋_GB2312" w:eastAsia="仿宋_GB2312" w:cs="仿宋_GB2312"/>
                <w:b/>
                <w:sz w:val="24"/>
                <w:highlight w:val="none"/>
                <w:lang w:val="zh-CN"/>
              </w:rPr>
              <w:t>递交响应文件时：</w:t>
            </w:r>
            <w:r>
              <w:rPr>
                <w:rFonts w:hint="eastAsia" w:ascii="仿宋_GB2312" w:hAnsi="仿宋_GB2312" w:eastAsia="仿宋_GB2312" w:cs="仿宋_GB2312"/>
                <w:b/>
                <w:bCs/>
                <w:sz w:val="24"/>
                <w:szCs w:val="24"/>
                <w:highlight w:val="none"/>
                <w:lang w:val="zh-CN"/>
              </w:rPr>
              <w:t>法定代表人应提交法定代表人身份证明原件和本人身份证原件（</w:t>
            </w:r>
            <w:r>
              <w:rPr>
                <w:rFonts w:hint="eastAsia" w:ascii="仿宋_GB2312" w:hAnsi="仿宋_GB2312" w:eastAsia="仿宋_GB2312" w:cs="仿宋_GB2312"/>
                <w:b/>
                <w:sz w:val="24"/>
                <w:highlight w:val="none"/>
                <w:lang w:val="zh-CN"/>
              </w:rPr>
              <w:t>或被授权代表应提交授权委托书原件和本人身份证原件</w:t>
            </w:r>
            <w:r>
              <w:rPr>
                <w:rFonts w:hint="eastAsia" w:ascii="仿宋_GB2312" w:hAnsi="仿宋_GB2312" w:eastAsia="仿宋_GB2312" w:cs="仿宋_GB2312"/>
                <w:b/>
                <w:bCs/>
                <w:sz w:val="24"/>
                <w:szCs w:val="24"/>
                <w:highlight w:val="none"/>
                <w:lang w:val="zh-CN"/>
              </w:rPr>
              <w:t>）</w:t>
            </w:r>
            <w:r>
              <w:rPr>
                <w:rFonts w:hint="eastAsia" w:ascii="仿宋_GB2312" w:hAnsi="仿宋_GB2312" w:eastAsia="仿宋_GB2312" w:cs="仿宋_GB2312"/>
                <w:b/>
                <w:sz w:val="24"/>
                <w:highlight w:val="none"/>
                <w:lang w:val="zh-CN"/>
              </w:rPr>
              <w:t>。否则，对递交的响应文件将不予接收。</w:t>
            </w:r>
          </w:p>
        </w:tc>
      </w:tr>
      <w:tr w14:paraId="53BE3A0A">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14:paraId="7D6CD1D6">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21</w:t>
            </w:r>
          </w:p>
        </w:tc>
        <w:tc>
          <w:tcPr>
            <w:tcW w:w="2793" w:type="dxa"/>
            <w:tcBorders>
              <w:top w:val="single" w:color="auto" w:sz="4" w:space="0"/>
              <w:left w:val="single" w:color="auto" w:sz="4" w:space="0"/>
              <w:bottom w:val="single" w:color="auto" w:sz="4" w:space="0"/>
              <w:right w:val="single" w:color="auto" w:sz="4" w:space="0"/>
            </w:tcBorders>
            <w:vAlign w:val="center"/>
          </w:tcPr>
          <w:p w14:paraId="65CC1B82">
            <w:pPr>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开标时间及地点</w:t>
            </w:r>
          </w:p>
        </w:tc>
        <w:tc>
          <w:tcPr>
            <w:tcW w:w="5534" w:type="dxa"/>
            <w:tcBorders>
              <w:top w:val="single" w:color="auto" w:sz="4" w:space="0"/>
              <w:left w:val="single" w:color="auto" w:sz="4" w:space="0"/>
              <w:bottom w:val="single" w:color="auto" w:sz="4" w:space="0"/>
              <w:right w:val="single" w:color="auto" w:sz="4" w:space="0"/>
            </w:tcBorders>
            <w:vAlign w:val="center"/>
          </w:tcPr>
          <w:p w14:paraId="3C95C7EC">
            <w:pPr>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时间：</w:t>
            </w:r>
            <w:r>
              <w:rPr>
                <w:rFonts w:hint="eastAsia" w:ascii="仿宋_GB2312" w:hAnsi="仿宋_GB2312" w:eastAsia="仿宋_GB2312" w:cs="仿宋_GB2312"/>
                <w:sz w:val="24"/>
                <w:szCs w:val="24"/>
                <w:highlight w:val="none"/>
                <w:lang w:eastAsia="zh-CN"/>
              </w:rPr>
              <w:t>2024年</w:t>
            </w:r>
            <w:r>
              <w:rPr>
                <w:rFonts w:hint="eastAsia" w:ascii="仿宋_GB2312" w:hAnsi="仿宋_GB2312" w:eastAsia="仿宋_GB2312" w:cs="仿宋_GB2312"/>
                <w:sz w:val="24"/>
                <w:szCs w:val="24"/>
                <w:highlight w:val="none"/>
                <w:lang w:val="en-US" w:eastAsia="zh-CN"/>
              </w:rPr>
              <w:t>12月31日</w:t>
            </w:r>
            <w:r>
              <w:rPr>
                <w:rFonts w:hint="eastAsia" w:ascii="仿宋_GB2312" w:hAnsi="仿宋_GB2312" w:eastAsia="仿宋_GB2312" w:cs="仿宋_GB2312"/>
                <w:sz w:val="24"/>
                <w:szCs w:val="24"/>
                <w:highlight w:val="none"/>
              </w:rPr>
              <w:t>09时35分。</w:t>
            </w:r>
          </w:p>
          <w:p w14:paraId="65D12F09">
            <w:pPr>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地点：</w:t>
            </w:r>
            <w:r>
              <w:rPr>
                <w:rFonts w:hint="eastAsia" w:ascii="仿宋_GB2312" w:hAnsi="仿宋_GB2312" w:eastAsia="仿宋_GB2312" w:cs="仿宋_GB2312"/>
                <w:kern w:val="1"/>
                <w:sz w:val="24"/>
                <w:szCs w:val="24"/>
                <w:highlight w:val="none"/>
              </w:rPr>
              <w:t>四流北路78号青岛碱厂办公区西办公楼</w:t>
            </w:r>
            <w:r>
              <w:rPr>
                <w:rFonts w:hint="eastAsia" w:ascii="仿宋_GB2312" w:hAnsi="仿宋_GB2312" w:eastAsia="仿宋_GB2312" w:cs="仿宋_GB2312"/>
                <w:sz w:val="24"/>
                <w:szCs w:val="24"/>
                <w:highlight w:val="none"/>
              </w:rPr>
              <w:t>3楼会议室</w:t>
            </w:r>
            <w:r>
              <w:rPr>
                <w:rFonts w:hint="eastAsia" w:ascii="仿宋_GB2312" w:hAnsi="仿宋_GB2312" w:eastAsia="仿宋_GB2312" w:cs="仿宋_GB2312"/>
                <w:sz w:val="24"/>
                <w:szCs w:val="24"/>
                <w:highlight w:val="none"/>
                <w:lang w:val="zh-CN"/>
              </w:rPr>
              <w:t xml:space="preserve">。 </w:t>
            </w:r>
          </w:p>
        </w:tc>
      </w:tr>
      <w:tr w14:paraId="63874662">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14:paraId="28F99736">
            <w:pPr>
              <w:jc w:val="center"/>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22</w:t>
            </w:r>
          </w:p>
        </w:tc>
        <w:tc>
          <w:tcPr>
            <w:tcW w:w="2793" w:type="dxa"/>
            <w:tcBorders>
              <w:top w:val="single" w:color="auto" w:sz="4" w:space="0"/>
              <w:left w:val="single" w:color="auto" w:sz="4" w:space="0"/>
              <w:bottom w:val="single" w:color="auto" w:sz="4" w:space="0"/>
              <w:right w:val="single" w:color="auto" w:sz="4" w:space="0"/>
            </w:tcBorders>
            <w:vAlign w:val="center"/>
          </w:tcPr>
          <w:p w14:paraId="7E85266C">
            <w:pPr>
              <w:autoSpaceDE w:val="0"/>
              <w:autoSpaceDN w:val="0"/>
              <w:adjustRightInd w:val="0"/>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highlight w:val="none"/>
                <w:lang w:val="zh-CN"/>
              </w:rPr>
              <w:t>谈判小组</w:t>
            </w:r>
          </w:p>
        </w:tc>
        <w:tc>
          <w:tcPr>
            <w:tcW w:w="5534" w:type="dxa"/>
            <w:tcBorders>
              <w:top w:val="single" w:color="auto" w:sz="4" w:space="0"/>
              <w:left w:val="single" w:color="auto" w:sz="4" w:space="0"/>
              <w:bottom w:val="single" w:color="auto" w:sz="4" w:space="0"/>
              <w:right w:val="single" w:color="auto" w:sz="4" w:space="0"/>
            </w:tcBorders>
            <w:vAlign w:val="center"/>
          </w:tcPr>
          <w:p w14:paraId="79EBDA4C">
            <w:pPr>
              <w:autoSpaceDE w:val="0"/>
              <w:autoSpaceDN w:val="0"/>
              <w:adjustRightInd w:val="0"/>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磋商小组共</w:t>
            </w:r>
            <w:r>
              <w:rPr>
                <w:rFonts w:hint="eastAsia" w:ascii="仿宋_GB2312" w:hAnsi="仿宋_GB2312" w:eastAsia="仿宋_GB2312" w:cs="仿宋_GB2312"/>
                <w:sz w:val="24"/>
                <w:szCs w:val="24"/>
                <w:highlight w:val="none"/>
                <w:u w:val="single"/>
              </w:rPr>
              <w:t>3</w:t>
            </w:r>
            <w:r>
              <w:rPr>
                <w:rFonts w:hint="eastAsia" w:ascii="仿宋_GB2312" w:hAnsi="仿宋_GB2312" w:eastAsia="仿宋_GB2312" w:cs="仿宋_GB2312"/>
                <w:sz w:val="24"/>
                <w:szCs w:val="24"/>
                <w:highlight w:val="none"/>
                <w:lang w:val="zh-CN"/>
              </w:rPr>
              <w:t>人</w:t>
            </w:r>
            <w:r>
              <w:rPr>
                <w:rFonts w:hint="eastAsia" w:ascii="仿宋_GB2312" w:hAnsi="仿宋_GB2312" w:eastAsia="仿宋_GB2312" w:cs="仿宋_GB2312"/>
                <w:sz w:val="24"/>
                <w:szCs w:val="24"/>
                <w:highlight w:val="none"/>
              </w:rPr>
              <w:t>。</w:t>
            </w:r>
          </w:p>
        </w:tc>
      </w:tr>
      <w:tr w14:paraId="4FBB91E4">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14:paraId="4EF5875C">
            <w:pPr>
              <w:jc w:val="center"/>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rPr>
              <w:t>23</w:t>
            </w:r>
          </w:p>
        </w:tc>
        <w:tc>
          <w:tcPr>
            <w:tcW w:w="2793" w:type="dxa"/>
            <w:tcBorders>
              <w:top w:val="single" w:color="auto" w:sz="4" w:space="0"/>
              <w:left w:val="single" w:color="auto" w:sz="4" w:space="0"/>
              <w:bottom w:val="single" w:color="auto" w:sz="4" w:space="0"/>
              <w:right w:val="single" w:color="auto" w:sz="4" w:space="0"/>
            </w:tcBorders>
            <w:vAlign w:val="center"/>
          </w:tcPr>
          <w:p w14:paraId="4D484999">
            <w:pPr>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评审办法</w:t>
            </w:r>
          </w:p>
        </w:tc>
        <w:tc>
          <w:tcPr>
            <w:tcW w:w="5534" w:type="dxa"/>
            <w:tcBorders>
              <w:top w:val="single" w:color="auto" w:sz="4" w:space="0"/>
              <w:left w:val="single" w:color="auto" w:sz="4" w:space="0"/>
              <w:bottom w:val="single" w:color="auto" w:sz="4" w:space="0"/>
              <w:right w:val="single" w:color="auto" w:sz="4" w:space="0"/>
            </w:tcBorders>
            <w:vAlign w:val="center"/>
          </w:tcPr>
          <w:p w14:paraId="545268DC">
            <w:pPr>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最低评标价法</w:t>
            </w:r>
          </w:p>
        </w:tc>
      </w:tr>
      <w:tr w14:paraId="45166738">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14:paraId="1290E1F9">
            <w:pPr>
              <w:jc w:val="center"/>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rPr>
              <w:t>24</w:t>
            </w:r>
          </w:p>
        </w:tc>
        <w:tc>
          <w:tcPr>
            <w:tcW w:w="2793" w:type="dxa"/>
            <w:tcBorders>
              <w:top w:val="single" w:color="auto" w:sz="4" w:space="0"/>
              <w:left w:val="single" w:color="auto" w:sz="4" w:space="0"/>
              <w:bottom w:val="single" w:color="auto" w:sz="4" w:space="0"/>
              <w:right w:val="single" w:color="auto" w:sz="4" w:space="0"/>
            </w:tcBorders>
            <w:vAlign w:val="center"/>
          </w:tcPr>
          <w:p w14:paraId="73786FA8">
            <w:pPr>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是否授权谈判小组确定成交供应商</w:t>
            </w:r>
          </w:p>
        </w:tc>
        <w:tc>
          <w:tcPr>
            <w:tcW w:w="5534" w:type="dxa"/>
            <w:tcBorders>
              <w:top w:val="single" w:color="auto" w:sz="4" w:space="0"/>
              <w:left w:val="single" w:color="auto" w:sz="4" w:space="0"/>
              <w:bottom w:val="single" w:color="auto" w:sz="4" w:space="0"/>
              <w:right w:val="single" w:color="auto" w:sz="4" w:space="0"/>
            </w:tcBorders>
            <w:vAlign w:val="center"/>
          </w:tcPr>
          <w:p w14:paraId="48BF9048">
            <w:pPr>
              <w:spacing w:line="380" w:lineRule="exact"/>
              <w:ind w:left="360" w:hanging="360" w:hangingChars="150"/>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rPr>
              <w:t>是</w:t>
            </w:r>
          </w:p>
        </w:tc>
      </w:tr>
      <w:tr w14:paraId="0D33DD55">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14:paraId="0FDF54A7">
            <w:pPr>
              <w:jc w:val="center"/>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rPr>
              <w:t>25</w:t>
            </w:r>
          </w:p>
        </w:tc>
        <w:tc>
          <w:tcPr>
            <w:tcW w:w="2793" w:type="dxa"/>
            <w:tcBorders>
              <w:top w:val="single" w:color="auto" w:sz="4" w:space="0"/>
              <w:left w:val="single" w:color="auto" w:sz="4" w:space="0"/>
              <w:bottom w:val="single" w:color="auto" w:sz="4" w:space="0"/>
              <w:right w:val="single" w:color="auto" w:sz="4" w:space="0"/>
            </w:tcBorders>
            <w:vAlign w:val="center"/>
          </w:tcPr>
          <w:p w14:paraId="06974B12">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是否退还响应文件</w:t>
            </w:r>
          </w:p>
        </w:tc>
        <w:tc>
          <w:tcPr>
            <w:tcW w:w="5534" w:type="dxa"/>
            <w:tcBorders>
              <w:top w:val="single" w:color="auto" w:sz="4" w:space="0"/>
              <w:left w:val="single" w:color="auto" w:sz="4" w:space="0"/>
              <w:bottom w:val="single" w:color="auto" w:sz="4" w:space="0"/>
              <w:right w:val="single" w:color="auto" w:sz="4" w:space="0"/>
            </w:tcBorders>
            <w:vAlign w:val="center"/>
          </w:tcPr>
          <w:p w14:paraId="3642BEFF">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除供应商需收回的资格、资信等证明文件中的证明材料原件（如营业执照、合同、相关资质证书等）外，其他文件概不退还。</w:t>
            </w:r>
          </w:p>
        </w:tc>
      </w:tr>
    </w:tbl>
    <w:p w14:paraId="648AB422">
      <w:pPr>
        <w:rPr>
          <w:rFonts w:hint="eastAsia" w:ascii="仿宋_GB2312" w:hAnsi="仿宋_GB2312" w:eastAsia="仿宋_GB2312" w:cs="仿宋_GB2312"/>
          <w:highlight w:val="none"/>
        </w:rPr>
        <w:sectPr>
          <w:pgSz w:w="11906" w:h="16838"/>
          <w:pgMar w:top="1418" w:right="1418" w:bottom="1418" w:left="1418" w:header="851" w:footer="992" w:gutter="0"/>
          <w:cols w:space="720" w:num="1"/>
          <w:docGrid w:type="lines" w:linePitch="312" w:charSpace="0"/>
        </w:sectPr>
      </w:pPr>
    </w:p>
    <w:p w14:paraId="3094A1D7">
      <w:pPr>
        <w:spacing w:after="156" w:afterLines="50"/>
        <w:jc w:val="center"/>
        <w:outlineLvl w:val="1"/>
        <w:rPr>
          <w:rFonts w:hint="eastAsia" w:ascii="仿宋_GB2312" w:hAnsi="仿宋_GB2312" w:eastAsia="仿宋_GB2312" w:cs="仿宋_GB2312"/>
          <w:sz w:val="28"/>
          <w:szCs w:val="28"/>
          <w:highlight w:val="none"/>
        </w:rPr>
      </w:pPr>
      <w:bookmarkStart w:id="2" w:name="_Toc434614157"/>
      <w:bookmarkStart w:id="3" w:name="_Toc126742726"/>
      <w:r>
        <w:rPr>
          <w:rFonts w:hint="eastAsia" w:ascii="仿宋_GB2312" w:hAnsi="仿宋_GB2312" w:eastAsia="仿宋_GB2312" w:cs="仿宋_GB2312"/>
          <w:sz w:val="28"/>
          <w:szCs w:val="28"/>
          <w:highlight w:val="none"/>
        </w:rPr>
        <w:t>第三章  供应商应当提交的资格、资信等证明文件</w:t>
      </w:r>
      <w:bookmarkEnd w:id="2"/>
      <w:bookmarkEnd w:id="3"/>
    </w:p>
    <w:p w14:paraId="7373779A">
      <w:pPr>
        <w:spacing w:line="360" w:lineRule="auto"/>
        <w:ind w:firstLine="478" w:firstLineChars="171"/>
        <w:rPr>
          <w:rStyle w:val="14"/>
          <w:rFonts w:hint="eastAsia" w:ascii="仿宋_GB2312" w:hAnsi="仿宋_GB2312" w:eastAsia="仿宋_GB2312" w:cs="仿宋_GB2312"/>
          <w:highlight w:val="none"/>
        </w:rPr>
      </w:pPr>
      <w:bookmarkStart w:id="4" w:name="_Toc25831"/>
      <w:bookmarkStart w:id="5" w:name="_Toc24012919"/>
      <w:bookmarkStart w:id="6" w:name="_Toc510165760"/>
      <w:r>
        <w:rPr>
          <w:rStyle w:val="14"/>
          <w:rFonts w:hint="eastAsia" w:ascii="仿宋_GB2312" w:hAnsi="仿宋_GB2312" w:eastAsia="仿宋_GB2312" w:cs="仿宋_GB2312"/>
          <w:highlight w:val="none"/>
        </w:rPr>
        <w:t>1.资格、资信等证明文件目录</w:t>
      </w:r>
      <w:bookmarkEnd w:id="4"/>
      <w:bookmarkEnd w:id="5"/>
      <w:bookmarkEnd w:id="6"/>
    </w:p>
    <w:tbl>
      <w:tblPr>
        <w:tblStyle w:val="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843"/>
        <w:gridCol w:w="1559"/>
        <w:gridCol w:w="4224"/>
        <w:gridCol w:w="709"/>
      </w:tblGrid>
      <w:tr w14:paraId="351E5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0C75EEC">
            <w:pPr>
              <w:spacing w:line="400" w:lineRule="exact"/>
              <w:jc w:val="center"/>
              <w:rPr>
                <w:rFonts w:hint="eastAsia" w:ascii="宋体" w:hAnsi="宋体"/>
                <w:szCs w:val="21"/>
                <w:highlight w:val="none"/>
              </w:rPr>
            </w:pPr>
            <w:r>
              <w:rPr>
                <w:rFonts w:ascii="宋体" w:hAnsi="宋体"/>
                <w:szCs w:val="21"/>
                <w:highlight w:val="none"/>
              </w:rPr>
              <w:t>序号</w:t>
            </w:r>
          </w:p>
        </w:tc>
        <w:tc>
          <w:tcPr>
            <w:tcW w:w="1843" w:type="dxa"/>
            <w:vAlign w:val="center"/>
          </w:tcPr>
          <w:p w14:paraId="12E3325A">
            <w:pPr>
              <w:spacing w:line="380" w:lineRule="exact"/>
              <w:jc w:val="center"/>
              <w:rPr>
                <w:rFonts w:hint="eastAsia" w:ascii="宋体" w:hAnsi="宋体"/>
                <w:szCs w:val="21"/>
                <w:highlight w:val="none"/>
              </w:rPr>
            </w:pPr>
            <w:r>
              <w:rPr>
                <w:rFonts w:ascii="宋体" w:hAnsi="宋体"/>
                <w:szCs w:val="21"/>
                <w:highlight w:val="none"/>
              </w:rPr>
              <w:t>证明材料名称</w:t>
            </w:r>
          </w:p>
        </w:tc>
        <w:tc>
          <w:tcPr>
            <w:tcW w:w="1559" w:type="dxa"/>
            <w:vAlign w:val="center"/>
          </w:tcPr>
          <w:p w14:paraId="0E041E87">
            <w:pPr>
              <w:spacing w:line="380" w:lineRule="exact"/>
              <w:jc w:val="center"/>
              <w:rPr>
                <w:rFonts w:hint="eastAsia" w:ascii="宋体" w:hAnsi="宋体"/>
                <w:szCs w:val="21"/>
                <w:highlight w:val="none"/>
              </w:rPr>
            </w:pPr>
            <w:r>
              <w:rPr>
                <w:rFonts w:ascii="宋体" w:hAnsi="宋体"/>
                <w:szCs w:val="21"/>
                <w:highlight w:val="none"/>
              </w:rPr>
              <w:t>提供形式</w:t>
            </w:r>
          </w:p>
        </w:tc>
        <w:tc>
          <w:tcPr>
            <w:tcW w:w="4224" w:type="dxa"/>
            <w:vAlign w:val="center"/>
          </w:tcPr>
          <w:p w14:paraId="27AD949E">
            <w:pPr>
              <w:spacing w:line="380" w:lineRule="exact"/>
              <w:jc w:val="center"/>
              <w:rPr>
                <w:rFonts w:hint="eastAsia" w:ascii="宋体" w:hAnsi="宋体"/>
                <w:szCs w:val="21"/>
                <w:highlight w:val="none"/>
              </w:rPr>
            </w:pPr>
            <w:r>
              <w:rPr>
                <w:rFonts w:ascii="宋体" w:hAnsi="宋体"/>
                <w:szCs w:val="21"/>
                <w:highlight w:val="none"/>
              </w:rPr>
              <w:t>备注</w:t>
            </w:r>
          </w:p>
        </w:tc>
        <w:tc>
          <w:tcPr>
            <w:tcW w:w="709" w:type="dxa"/>
          </w:tcPr>
          <w:p w14:paraId="2843A7F6">
            <w:pPr>
              <w:spacing w:line="380" w:lineRule="exact"/>
              <w:jc w:val="center"/>
              <w:rPr>
                <w:rFonts w:hint="eastAsia" w:ascii="宋体" w:hAnsi="宋体"/>
                <w:szCs w:val="21"/>
                <w:highlight w:val="none"/>
              </w:rPr>
            </w:pPr>
            <w:r>
              <w:rPr>
                <w:rFonts w:ascii="宋体" w:hAnsi="宋体"/>
                <w:szCs w:val="21"/>
                <w:highlight w:val="none"/>
              </w:rPr>
              <w:t>必须提交</w:t>
            </w:r>
          </w:p>
        </w:tc>
      </w:tr>
      <w:tr w14:paraId="59FE7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7BB95C2">
            <w:pPr>
              <w:spacing w:line="400" w:lineRule="exact"/>
              <w:jc w:val="center"/>
              <w:rPr>
                <w:rFonts w:hint="eastAsia" w:ascii="宋体" w:hAnsi="宋体"/>
                <w:szCs w:val="21"/>
                <w:highlight w:val="none"/>
              </w:rPr>
            </w:pPr>
            <w:r>
              <w:rPr>
                <w:rFonts w:ascii="宋体" w:hAnsi="宋体"/>
                <w:szCs w:val="21"/>
                <w:highlight w:val="none"/>
              </w:rPr>
              <w:t>1</w:t>
            </w:r>
          </w:p>
        </w:tc>
        <w:tc>
          <w:tcPr>
            <w:tcW w:w="1843" w:type="dxa"/>
            <w:vAlign w:val="center"/>
          </w:tcPr>
          <w:p w14:paraId="45B112B3">
            <w:pPr>
              <w:spacing w:line="380" w:lineRule="exact"/>
              <w:jc w:val="left"/>
              <w:rPr>
                <w:rFonts w:hint="eastAsia" w:ascii="宋体" w:hAnsi="宋体"/>
                <w:szCs w:val="21"/>
                <w:highlight w:val="none"/>
              </w:rPr>
            </w:pPr>
            <w:r>
              <w:rPr>
                <w:rFonts w:ascii="宋体" w:hAnsi="宋体"/>
                <w:szCs w:val="21"/>
                <w:highlight w:val="none"/>
              </w:rPr>
              <w:t>营业执照</w:t>
            </w:r>
          </w:p>
        </w:tc>
        <w:tc>
          <w:tcPr>
            <w:tcW w:w="1559" w:type="dxa"/>
            <w:vAlign w:val="center"/>
          </w:tcPr>
          <w:p w14:paraId="6A8B6B67">
            <w:pPr>
              <w:spacing w:line="380" w:lineRule="exact"/>
              <w:jc w:val="left"/>
              <w:rPr>
                <w:rFonts w:hint="eastAsia" w:ascii="宋体" w:hAnsi="宋体"/>
                <w:szCs w:val="21"/>
                <w:highlight w:val="none"/>
              </w:rPr>
            </w:pPr>
            <w:r>
              <w:rPr>
                <w:rFonts w:hint="eastAsia" w:ascii="宋体" w:hAnsi="宋体"/>
                <w:szCs w:val="21"/>
                <w:highlight w:val="none"/>
              </w:rPr>
              <w:t>原件或复印件</w:t>
            </w:r>
          </w:p>
        </w:tc>
        <w:tc>
          <w:tcPr>
            <w:tcW w:w="4224" w:type="dxa"/>
            <w:vAlign w:val="center"/>
          </w:tcPr>
          <w:p w14:paraId="2730AA58">
            <w:pPr>
              <w:spacing w:line="380" w:lineRule="exact"/>
              <w:jc w:val="left"/>
              <w:rPr>
                <w:rFonts w:hint="eastAsia" w:ascii="宋体" w:hAnsi="宋体"/>
                <w:szCs w:val="21"/>
                <w:highlight w:val="none"/>
              </w:rPr>
            </w:pPr>
            <w:r>
              <w:rPr>
                <w:rFonts w:hint="eastAsia" w:ascii="宋体" w:hAnsi="宋体"/>
                <w:szCs w:val="21"/>
                <w:highlight w:val="none"/>
              </w:rPr>
              <w:t>具有独立承担民事责任能力的法人或其分支机构或其他组织</w:t>
            </w:r>
            <w:r>
              <w:rPr>
                <w:rFonts w:ascii="宋体" w:hAnsi="宋体"/>
                <w:szCs w:val="21"/>
                <w:highlight w:val="none"/>
              </w:rPr>
              <w:t>合法经营权的凭证（如:营业执照、登记证书、执业许可证等）</w:t>
            </w:r>
          </w:p>
        </w:tc>
        <w:tc>
          <w:tcPr>
            <w:tcW w:w="709" w:type="dxa"/>
            <w:vAlign w:val="center"/>
          </w:tcPr>
          <w:p w14:paraId="60DDB00A">
            <w:pPr>
              <w:spacing w:line="380" w:lineRule="exact"/>
              <w:jc w:val="left"/>
              <w:rPr>
                <w:rFonts w:hint="eastAsia" w:ascii="宋体" w:hAnsi="宋体"/>
                <w:szCs w:val="21"/>
                <w:highlight w:val="none"/>
              </w:rPr>
            </w:pPr>
            <w:r>
              <w:rPr>
                <w:rFonts w:ascii="宋体" w:hAnsi="宋体"/>
                <w:szCs w:val="21"/>
                <w:highlight w:val="none"/>
              </w:rPr>
              <w:t>是</w:t>
            </w:r>
          </w:p>
        </w:tc>
      </w:tr>
      <w:tr w14:paraId="2C0C2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F560295">
            <w:pPr>
              <w:spacing w:line="400" w:lineRule="exact"/>
              <w:jc w:val="center"/>
              <w:rPr>
                <w:rFonts w:hint="eastAsia" w:ascii="宋体" w:hAnsi="宋体"/>
                <w:szCs w:val="21"/>
                <w:highlight w:val="none"/>
              </w:rPr>
            </w:pPr>
            <w:r>
              <w:rPr>
                <w:rFonts w:hint="eastAsia" w:ascii="宋体" w:hAnsi="宋体"/>
                <w:szCs w:val="21"/>
                <w:highlight w:val="none"/>
              </w:rPr>
              <w:t>2</w:t>
            </w:r>
          </w:p>
        </w:tc>
        <w:tc>
          <w:tcPr>
            <w:tcW w:w="1843" w:type="dxa"/>
            <w:vAlign w:val="center"/>
          </w:tcPr>
          <w:p w14:paraId="1A2A3EDE">
            <w:pPr>
              <w:spacing w:line="380" w:lineRule="exact"/>
              <w:jc w:val="left"/>
              <w:rPr>
                <w:rFonts w:hint="eastAsia" w:ascii="宋体" w:hAnsi="宋体"/>
                <w:szCs w:val="21"/>
                <w:highlight w:val="none"/>
              </w:rPr>
            </w:pPr>
            <w:r>
              <w:rPr>
                <w:rFonts w:hint="eastAsia" w:ascii="宋体" w:hAnsi="宋体"/>
                <w:szCs w:val="21"/>
                <w:highlight w:val="none"/>
              </w:rPr>
              <w:t>资质</w:t>
            </w:r>
            <w:r>
              <w:rPr>
                <w:rFonts w:ascii="宋体" w:hAnsi="宋体"/>
                <w:szCs w:val="21"/>
                <w:highlight w:val="none"/>
              </w:rPr>
              <w:t>证书</w:t>
            </w:r>
          </w:p>
        </w:tc>
        <w:tc>
          <w:tcPr>
            <w:tcW w:w="1559" w:type="dxa"/>
            <w:vAlign w:val="center"/>
          </w:tcPr>
          <w:p w14:paraId="4178DA1F">
            <w:pPr>
              <w:spacing w:line="380" w:lineRule="exact"/>
              <w:jc w:val="left"/>
              <w:rPr>
                <w:rFonts w:hint="eastAsia" w:ascii="宋体" w:hAnsi="宋体"/>
                <w:szCs w:val="21"/>
                <w:highlight w:val="none"/>
              </w:rPr>
            </w:pPr>
            <w:r>
              <w:rPr>
                <w:rFonts w:hint="eastAsia" w:ascii="宋体" w:hAnsi="宋体"/>
                <w:szCs w:val="21"/>
                <w:highlight w:val="none"/>
              </w:rPr>
              <w:t>原件或复印件</w:t>
            </w:r>
          </w:p>
        </w:tc>
        <w:tc>
          <w:tcPr>
            <w:tcW w:w="4224" w:type="dxa"/>
            <w:vAlign w:val="center"/>
          </w:tcPr>
          <w:p w14:paraId="5BA3CE5A">
            <w:pPr>
              <w:spacing w:line="380" w:lineRule="exact"/>
              <w:rPr>
                <w:rFonts w:hint="eastAsia" w:ascii="宋体" w:hAnsi="宋体"/>
                <w:szCs w:val="21"/>
                <w:highlight w:val="none"/>
              </w:rPr>
            </w:pPr>
            <w:r>
              <w:rPr>
                <w:rFonts w:hint="eastAsia" w:ascii="宋体" w:hAnsi="宋体"/>
                <w:szCs w:val="21"/>
                <w:highlight w:val="none"/>
              </w:rPr>
              <w:t>具有以下资质之一：</w:t>
            </w:r>
          </w:p>
          <w:p w14:paraId="2322CFF4">
            <w:pPr>
              <w:spacing w:line="360" w:lineRule="auto"/>
              <w:ind w:firstLine="480" w:firstLineChars="200"/>
              <w:rPr>
                <w:rFonts w:hint="eastAsia" w:ascii="仿宋_GB2312" w:hAnsi="仿宋_GB2312" w:eastAsia="仿宋_GB2312" w:cs="仿宋_GB2312"/>
                <w:kern w:val="1"/>
                <w:sz w:val="24"/>
                <w:szCs w:val="24"/>
                <w:highlight w:val="none"/>
              </w:rPr>
            </w:pPr>
            <w:r>
              <w:rPr>
                <w:rFonts w:hint="eastAsia" w:ascii="仿宋_GB2312" w:hAnsi="仿宋_GB2312" w:eastAsia="仿宋_GB2312" w:cs="仿宋_GB2312"/>
                <w:kern w:val="1"/>
                <w:sz w:val="24"/>
                <w:szCs w:val="24"/>
                <w:highlight w:val="none"/>
              </w:rPr>
              <w:t>住房和城乡建设部颁发的工程勘察综合类甲级资质；</w:t>
            </w:r>
          </w:p>
          <w:p w14:paraId="5FDF9BAD">
            <w:pPr>
              <w:spacing w:line="360" w:lineRule="auto"/>
              <w:ind w:firstLine="480" w:firstLineChars="200"/>
              <w:rPr>
                <w:rFonts w:hint="eastAsia" w:ascii="仿宋_GB2312" w:hAnsi="仿宋_GB2312" w:eastAsia="仿宋_GB2312" w:cs="仿宋_GB2312"/>
                <w:kern w:val="1"/>
                <w:sz w:val="24"/>
                <w:szCs w:val="24"/>
                <w:highlight w:val="none"/>
              </w:rPr>
            </w:pPr>
            <w:r>
              <w:rPr>
                <w:rFonts w:hint="eastAsia" w:ascii="仿宋_GB2312" w:hAnsi="仿宋_GB2312" w:eastAsia="仿宋_GB2312" w:cs="仿宋_GB2312"/>
                <w:kern w:val="1"/>
                <w:sz w:val="24"/>
                <w:szCs w:val="24"/>
                <w:highlight w:val="none"/>
              </w:rPr>
              <w:t>住房和城乡建设部颁发的工程测量专业甲级资质；</w:t>
            </w:r>
          </w:p>
          <w:p w14:paraId="256E5184">
            <w:pPr>
              <w:spacing w:line="360" w:lineRule="auto"/>
              <w:ind w:firstLine="480" w:firstLineChars="200"/>
              <w:rPr>
                <w:rFonts w:hint="eastAsia" w:ascii="宋体" w:hAnsi="宋体"/>
                <w:szCs w:val="21"/>
                <w:highlight w:val="none"/>
              </w:rPr>
            </w:pPr>
            <w:r>
              <w:rPr>
                <w:rFonts w:hint="eastAsia" w:ascii="仿宋_GB2312" w:hAnsi="仿宋_GB2312" w:eastAsia="仿宋_GB2312" w:cs="仿宋_GB2312"/>
                <w:kern w:val="1"/>
                <w:sz w:val="24"/>
                <w:szCs w:val="24"/>
                <w:highlight w:val="none"/>
              </w:rPr>
              <w:t>住房和城乡建设部颁发的岩土工程物探测试检测监测专业甲级资质。</w:t>
            </w:r>
          </w:p>
        </w:tc>
        <w:tc>
          <w:tcPr>
            <w:tcW w:w="709" w:type="dxa"/>
            <w:vAlign w:val="center"/>
          </w:tcPr>
          <w:p w14:paraId="34E10F41">
            <w:pPr>
              <w:spacing w:line="380" w:lineRule="exact"/>
              <w:jc w:val="center"/>
              <w:rPr>
                <w:rFonts w:hint="eastAsia" w:ascii="宋体" w:hAnsi="宋体"/>
                <w:szCs w:val="21"/>
                <w:highlight w:val="none"/>
              </w:rPr>
            </w:pPr>
            <w:r>
              <w:rPr>
                <w:rFonts w:hint="eastAsia" w:ascii="宋体" w:hAnsi="宋体"/>
                <w:szCs w:val="21"/>
                <w:highlight w:val="none"/>
              </w:rPr>
              <w:t>是</w:t>
            </w:r>
          </w:p>
        </w:tc>
      </w:tr>
      <w:tr w14:paraId="0C588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2C16841">
            <w:pPr>
              <w:spacing w:line="400" w:lineRule="exact"/>
              <w:jc w:val="center"/>
              <w:rPr>
                <w:rFonts w:hint="eastAsia" w:ascii="宋体" w:hAnsi="宋体"/>
                <w:szCs w:val="21"/>
                <w:highlight w:val="none"/>
              </w:rPr>
            </w:pPr>
            <w:r>
              <w:rPr>
                <w:rFonts w:hint="eastAsia" w:ascii="宋体" w:hAnsi="宋体"/>
                <w:szCs w:val="21"/>
                <w:highlight w:val="none"/>
              </w:rPr>
              <w:t>3</w:t>
            </w:r>
          </w:p>
        </w:tc>
        <w:tc>
          <w:tcPr>
            <w:tcW w:w="1843" w:type="dxa"/>
            <w:vAlign w:val="center"/>
          </w:tcPr>
          <w:p w14:paraId="0AC564D3">
            <w:pPr>
              <w:spacing w:line="380" w:lineRule="exact"/>
              <w:jc w:val="left"/>
              <w:rPr>
                <w:rFonts w:hint="eastAsia" w:ascii="宋体" w:hAnsi="宋体"/>
                <w:szCs w:val="21"/>
                <w:highlight w:val="none"/>
              </w:rPr>
            </w:pPr>
            <w:r>
              <w:rPr>
                <w:rFonts w:hint="eastAsia" w:ascii="宋体" w:hAnsi="宋体"/>
                <w:szCs w:val="21"/>
                <w:highlight w:val="none"/>
              </w:rPr>
              <w:t>项目负责人注册证书</w:t>
            </w:r>
          </w:p>
        </w:tc>
        <w:tc>
          <w:tcPr>
            <w:tcW w:w="1559" w:type="dxa"/>
            <w:vAlign w:val="center"/>
          </w:tcPr>
          <w:p w14:paraId="6E61F44D">
            <w:pPr>
              <w:spacing w:line="380" w:lineRule="exact"/>
              <w:jc w:val="left"/>
              <w:rPr>
                <w:rFonts w:hint="eastAsia" w:ascii="宋体" w:hAnsi="宋体"/>
                <w:szCs w:val="21"/>
                <w:highlight w:val="none"/>
              </w:rPr>
            </w:pPr>
            <w:r>
              <w:rPr>
                <w:rFonts w:hint="eastAsia" w:ascii="宋体" w:hAnsi="宋体"/>
                <w:szCs w:val="21"/>
                <w:highlight w:val="none"/>
              </w:rPr>
              <w:t>原件或复印件</w:t>
            </w:r>
          </w:p>
        </w:tc>
        <w:tc>
          <w:tcPr>
            <w:tcW w:w="4224" w:type="dxa"/>
            <w:vAlign w:val="center"/>
          </w:tcPr>
          <w:p w14:paraId="310E8BA3">
            <w:pPr>
              <w:spacing w:line="380" w:lineRule="exact"/>
              <w:rPr>
                <w:rFonts w:hint="eastAsia" w:ascii="宋体" w:hAnsi="宋体"/>
                <w:szCs w:val="21"/>
                <w:highlight w:val="none"/>
              </w:rPr>
            </w:pPr>
            <w:r>
              <w:rPr>
                <w:rFonts w:hint="eastAsia" w:ascii="宋体" w:hAnsi="宋体"/>
                <w:szCs w:val="21"/>
                <w:highlight w:val="none"/>
              </w:rPr>
              <w:t>项目负责人为投标单位正式在职人员且具有工程类高级及以上技术职称，</w:t>
            </w:r>
            <w:r>
              <w:rPr>
                <w:rFonts w:hint="eastAsia" w:ascii="宋体" w:hAnsi="宋体"/>
                <w:szCs w:val="21"/>
                <w:highlight w:val="none"/>
                <w:lang w:val="en-US" w:eastAsia="zh-CN"/>
              </w:rPr>
              <w:t>或</w:t>
            </w:r>
            <w:r>
              <w:rPr>
                <w:rFonts w:hint="eastAsia" w:ascii="宋体" w:hAnsi="宋体"/>
                <w:szCs w:val="21"/>
                <w:highlight w:val="none"/>
              </w:rPr>
              <w:t>具有注册（岩土或测绘）类执业资格证书。</w:t>
            </w:r>
          </w:p>
        </w:tc>
        <w:tc>
          <w:tcPr>
            <w:tcW w:w="709" w:type="dxa"/>
            <w:vAlign w:val="center"/>
          </w:tcPr>
          <w:p w14:paraId="764FF57B">
            <w:pPr>
              <w:spacing w:line="380" w:lineRule="exact"/>
              <w:jc w:val="center"/>
              <w:rPr>
                <w:rFonts w:hint="eastAsia" w:ascii="宋体" w:hAnsi="宋体"/>
                <w:szCs w:val="21"/>
                <w:highlight w:val="none"/>
              </w:rPr>
            </w:pPr>
            <w:r>
              <w:rPr>
                <w:rFonts w:hint="eastAsia" w:ascii="宋体" w:hAnsi="宋体"/>
                <w:szCs w:val="21"/>
                <w:highlight w:val="none"/>
              </w:rPr>
              <w:t>是</w:t>
            </w:r>
          </w:p>
        </w:tc>
      </w:tr>
      <w:tr w14:paraId="1A8BD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F364D3B">
            <w:pPr>
              <w:spacing w:line="400" w:lineRule="exact"/>
              <w:jc w:val="center"/>
              <w:rPr>
                <w:rFonts w:hint="eastAsia" w:ascii="宋体" w:hAnsi="宋体"/>
                <w:szCs w:val="21"/>
                <w:highlight w:val="none"/>
              </w:rPr>
            </w:pPr>
            <w:r>
              <w:rPr>
                <w:rFonts w:hint="eastAsia" w:ascii="宋体" w:hAnsi="宋体"/>
                <w:szCs w:val="21"/>
                <w:highlight w:val="none"/>
              </w:rPr>
              <w:t>4</w:t>
            </w:r>
          </w:p>
        </w:tc>
        <w:tc>
          <w:tcPr>
            <w:tcW w:w="1843" w:type="dxa"/>
            <w:vAlign w:val="center"/>
          </w:tcPr>
          <w:p w14:paraId="55A6F6A0">
            <w:pPr>
              <w:spacing w:line="380" w:lineRule="exact"/>
              <w:jc w:val="left"/>
              <w:rPr>
                <w:rFonts w:hint="eastAsia" w:ascii="宋体" w:hAnsi="宋体"/>
                <w:szCs w:val="21"/>
                <w:highlight w:val="none"/>
              </w:rPr>
            </w:pPr>
            <w:r>
              <w:rPr>
                <w:rFonts w:ascii="宋体" w:hAnsi="宋体"/>
                <w:szCs w:val="21"/>
                <w:highlight w:val="none"/>
              </w:rPr>
              <w:t>自行查询的无行贿犯罪记录网页查询截图</w:t>
            </w:r>
          </w:p>
        </w:tc>
        <w:tc>
          <w:tcPr>
            <w:tcW w:w="1559" w:type="dxa"/>
            <w:vAlign w:val="center"/>
          </w:tcPr>
          <w:p w14:paraId="332E846F">
            <w:pPr>
              <w:spacing w:line="380" w:lineRule="exact"/>
              <w:jc w:val="left"/>
              <w:rPr>
                <w:rFonts w:hint="eastAsia" w:ascii="宋体" w:hAnsi="宋体"/>
                <w:szCs w:val="21"/>
                <w:highlight w:val="none"/>
              </w:rPr>
            </w:pPr>
            <w:r>
              <w:rPr>
                <w:rFonts w:hint="eastAsia" w:ascii="宋体" w:hAnsi="宋体"/>
                <w:szCs w:val="21"/>
                <w:highlight w:val="none"/>
              </w:rPr>
              <w:t>原件</w:t>
            </w:r>
          </w:p>
        </w:tc>
        <w:tc>
          <w:tcPr>
            <w:tcW w:w="4224" w:type="dxa"/>
            <w:vAlign w:val="center"/>
          </w:tcPr>
          <w:p w14:paraId="3C9C8B91">
            <w:pPr>
              <w:spacing w:line="380" w:lineRule="exact"/>
              <w:rPr>
                <w:rFonts w:hint="eastAsia" w:ascii="宋体" w:hAnsi="宋体"/>
                <w:szCs w:val="21"/>
                <w:highlight w:val="none"/>
              </w:rPr>
            </w:pPr>
            <w:r>
              <w:rPr>
                <w:rFonts w:ascii="宋体" w:hAnsi="宋体"/>
                <w:szCs w:val="21"/>
                <w:highlight w:val="none"/>
              </w:rPr>
              <w:t>提供在中国裁判文书网 (</w:t>
            </w:r>
            <w:r>
              <w:rPr>
                <w:highlight w:val="none"/>
              </w:rPr>
              <w:fldChar w:fldCharType="begin"/>
            </w:r>
            <w:r>
              <w:rPr>
                <w:highlight w:val="none"/>
              </w:rPr>
              <w:instrText xml:space="preserve"> HYPERLINK "http://wenshu.court.gov.cn" </w:instrText>
            </w:r>
            <w:r>
              <w:rPr>
                <w:highlight w:val="none"/>
              </w:rPr>
              <w:fldChar w:fldCharType="separate"/>
            </w:r>
            <w:r>
              <w:rPr>
                <w:rStyle w:val="13"/>
                <w:rFonts w:ascii="宋体" w:hAnsi="宋体"/>
                <w:szCs w:val="21"/>
                <w:highlight w:val="none"/>
              </w:rPr>
              <w:t>http://wenshu.court.gov.cn</w:t>
            </w:r>
            <w:r>
              <w:rPr>
                <w:rStyle w:val="13"/>
                <w:rFonts w:ascii="宋体" w:hAnsi="宋体"/>
                <w:szCs w:val="21"/>
                <w:highlight w:val="none"/>
              </w:rPr>
              <w:fldChar w:fldCharType="end"/>
            </w:r>
            <w:r>
              <w:rPr>
                <w:rFonts w:ascii="宋体" w:hAnsi="宋体"/>
                <w:szCs w:val="21"/>
                <w:highlight w:val="none"/>
              </w:rPr>
              <w:t>)自行查询的无行贿犯罪记录网页查询截图（查询内容：供应商、法定代表人、项目负责人），并加盖单位公章。</w:t>
            </w:r>
          </w:p>
        </w:tc>
        <w:tc>
          <w:tcPr>
            <w:tcW w:w="709" w:type="dxa"/>
            <w:vAlign w:val="center"/>
          </w:tcPr>
          <w:p w14:paraId="48E11912">
            <w:pPr>
              <w:spacing w:line="380" w:lineRule="exact"/>
              <w:jc w:val="center"/>
              <w:rPr>
                <w:rFonts w:hint="eastAsia" w:ascii="宋体" w:hAnsi="宋体"/>
                <w:szCs w:val="21"/>
                <w:highlight w:val="none"/>
              </w:rPr>
            </w:pPr>
            <w:r>
              <w:rPr>
                <w:rFonts w:ascii="宋体" w:hAnsi="宋体"/>
                <w:szCs w:val="21"/>
                <w:highlight w:val="none"/>
              </w:rPr>
              <w:t>是</w:t>
            </w:r>
          </w:p>
        </w:tc>
      </w:tr>
      <w:tr w14:paraId="294F2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4F21758">
            <w:pPr>
              <w:spacing w:line="400" w:lineRule="exact"/>
              <w:jc w:val="center"/>
              <w:rPr>
                <w:rFonts w:hint="eastAsia" w:ascii="宋体" w:hAnsi="宋体"/>
                <w:szCs w:val="21"/>
                <w:highlight w:val="none"/>
              </w:rPr>
            </w:pPr>
            <w:r>
              <w:rPr>
                <w:rFonts w:hint="eastAsia" w:ascii="宋体" w:hAnsi="宋体"/>
                <w:szCs w:val="21"/>
                <w:highlight w:val="none"/>
              </w:rPr>
              <w:t>5</w:t>
            </w:r>
          </w:p>
        </w:tc>
        <w:tc>
          <w:tcPr>
            <w:tcW w:w="1843" w:type="dxa"/>
            <w:vAlign w:val="center"/>
          </w:tcPr>
          <w:p w14:paraId="20E41387">
            <w:pPr>
              <w:spacing w:line="380" w:lineRule="exact"/>
              <w:jc w:val="left"/>
              <w:rPr>
                <w:rFonts w:hint="eastAsia" w:ascii="宋体" w:hAnsi="宋体"/>
                <w:szCs w:val="21"/>
                <w:highlight w:val="none"/>
              </w:rPr>
            </w:pPr>
            <w:r>
              <w:rPr>
                <w:rFonts w:hint="eastAsia" w:ascii="宋体" w:hAnsi="宋体"/>
                <w:szCs w:val="21"/>
                <w:highlight w:val="none"/>
              </w:rPr>
              <w:t>声明函</w:t>
            </w:r>
          </w:p>
        </w:tc>
        <w:tc>
          <w:tcPr>
            <w:tcW w:w="1559" w:type="dxa"/>
            <w:vAlign w:val="center"/>
          </w:tcPr>
          <w:p w14:paraId="3A5D0474">
            <w:pPr>
              <w:spacing w:line="380" w:lineRule="exact"/>
              <w:jc w:val="left"/>
              <w:rPr>
                <w:rFonts w:hint="eastAsia" w:ascii="宋体" w:hAnsi="宋体"/>
                <w:szCs w:val="21"/>
                <w:highlight w:val="none"/>
              </w:rPr>
            </w:pPr>
            <w:r>
              <w:rPr>
                <w:rFonts w:hint="eastAsia" w:ascii="宋体" w:hAnsi="宋体"/>
                <w:szCs w:val="21"/>
                <w:highlight w:val="none"/>
              </w:rPr>
              <w:t>原件</w:t>
            </w:r>
          </w:p>
        </w:tc>
        <w:tc>
          <w:tcPr>
            <w:tcW w:w="4224" w:type="dxa"/>
            <w:vAlign w:val="center"/>
          </w:tcPr>
          <w:p w14:paraId="3C000272">
            <w:pPr>
              <w:spacing w:line="380" w:lineRule="exact"/>
              <w:rPr>
                <w:rFonts w:hint="eastAsia" w:ascii="宋体" w:hAnsi="宋体"/>
                <w:szCs w:val="21"/>
                <w:highlight w:val="none"/>
              </w:rPr>
            </w:pPr>
            <w:r>
              <w:rPr>
                <w:rFonts w:hint="eastAsia" w:ascii="宋体" w:hAnsi="宋体"/>
                <w:szCs w:val="21"/>
                <w:highlight w:val="none"/>
              </w:rPr>
              <w:t>在经营活动中无重大违法记录和行贿犯罪记录具有良好商业信誉和健全财务会计制度、具有依法缴纳税收和社会保障资金良好记录的声明函，格式见附件。</w:t>
            </w:r>
          </w:p>
        </w:tc>
        <w:tc>
          <w:tcPr>
            <w:tcW w:w="709" w:type="dxa"/>
            <w:vAlign w:val="center"/>
          </w:tcPr>
          <w:p w14:paraId="3288936F">
            <w:pPr>
              <w:spacing w:line="380" w:lineRule="exact"/>
              <w:jc w:val="center"/>
              <w:rPr>
                <w:rFonts w:hint="eastAsia" w:ascii="宋体" w:hAnsi="宋体"/>
                <w:szCs w:val="21"/>
                <w:highlight w:val="none"/>
              </w:rPr>
            </w:pPr>
            <w:r>
              <w:rPr>
                <w:rFonts w:ascii="宋体" w:hAnsi="宋体"/>
                <w:szCs w:val="21"/>
                <w:highlight w:val="none"/>
              </w:rPr>
              <w:t>是</w:t>
            </w:r>
          </w:p>
        </w:tc>
      </w:tr>
      <w:tr w14:paraId="62077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082ECA1">
            <w:pPr>
              <w:spacing w:line="400" w:lineRule="exact"/>
              <w:jc w:val="center"/>
              <w:rPr>
                <w:rFonts w:hint="eastAsia" w:ascii="宋体" w:hAnsi="宋体"/>
                <w:szCs w:val="21"/>
                <w:highlight w:val="none"/>
              </w:rPr>
            </w:pPr>
            <w:r>
              <w:rPr>
                <w:rFonts w:hint="eastAsia" w:ascii="宋体" w:hAnsi="宋体"/>
                <w:szCs w:val="21"/>
                <w:highlight w:val="none"/>
              </w:rPr>
              <w:t>6</w:t>
            </w:r>
          </w:p>
        </w:tc>
        <w:tc>
          <w:tcPr>
            <w:tcW w:w="1843" w:type="dxa"/>
            <w:vAlign w:val="center"/>
          </w:tcPr>
          <w:p w14:paraId="427763CC">
            <w:pPr>
              <w:spacing w:line="380" w:lineRule="exact"/>
              <w:jc w:val="left"/>
              <w:rPr>
                <w:rFonts w:hint="eastAsia" w:ascii="宋体" w:hAnsi="宋体"/>
                <w:szCs w:val="21"/>
                <w:highlight w:val="none"/>
              </w:rPr>
            </w:pPr>
            <w:r>
              <w:rPr>
                <w:rFonts w:hint="eastAsia" w:ascii="宋体" w:hAnsi="宋体"/>
                <w:szCs w:val="21"/>
                <w:highlight w:val="none"/>
              </w:rPr>
              <w:t>信用查询</w:t>
            </w:r>
          </w:p>
        </w:tc>
        <w:tc>
          <w:tcPr>
            <w:tcW w:w="1559" w:type="dxa"/>
            <w:vAlign w:val="center"/>
          </w:tcPr>
          <w:p w14:paraId="13EB0647">
            <w:pPr>
              <w:spacing w:line="380" w:lineRule="exact"/>
              <w:jc w:val="left"/>
              <w:rPr>
                <w:rFonts w:hint="eastAsia" w:ascii="宋体" w:hAnsi="宋体"/>
                <w:szCs w:val="21"/>
                <w:highlight w:val="none"/>
              </w:rPr>
            </w:pPr>
            <w:r>
              <w:rPr>
                <w:rFonts w:hint="eastAsia" w:ascii="宋体" w:hAnsi="宋体"/>
                <w:szCs w:val="21"/>
                <w:highlight w:val="none"/>
              </w:rPr>
              <w:t>原件</w:t>
            </w:r>
          </w:p>
        </w:tc>
        <w:tc>
          <w:tcPr>
            <w:tcW w:w="4224" w:type="dxa"/>
            <w:vAlign w:val="center"/>
          </w:tcPr>
          <w:p w14:paraId="7A0DDD2B">
            <w:pPr>
              <w:spacing w:line="380" w:lineRule="exact"/>
              <w:rPr>
                <w:rFonts w:hint="eastAsia" w:ascii="宋体" w:hAnsi="宋体"/>
                <w:szCs w:val="21"/>
                <w:highlight w:val="none"/>
              </w:rPr>
            </w:pPr>
            <w:r>
              <w:rPr>
                <w:rFonts w:hint="eastAsia" w:ascii="宋体" w:hAnsi="宋体"/>
                <w:szCs w:val="21"/>
                <w:highlight w:val="none"/>
              </w:rPr>
              <w:t>通过</w:t>
            </w:r>
            <w:r>
              <w:rPr>
                <w:rFonts w:ascii="宋体" w:hAnsi="宋体"/>
                <w:szCs w:val="21"/>
                <w:highlight w:val="none"/>
              </w:rPr>
              <w:t>”</w:t>
            </w:r>
            <w:r>
              <w:rPr>
                <w:rFonts w:hint="eastAsia" w:ascii="宋体" w:hAnsi="宋体"/>
                <w:szCs w:val="21"/>
                <w:highlight w:val="none"/>
              </w:rPr>
              <w:t>信用中国</w:t>
            </w:r>
            <w:r>
              <w:rPr>
                <w:rFonts w:ascii="宋体" w:hAnsi="宋体"/>
                <w:szCs w:val="21"/>
                <w:highlight w:val="none"/>
              </w:rPr>
              <w:t>”</w:t>
            </w:r>
            <w:r>
              <w:rPr>
                <w:rFonts w:hint="eastAsia" w:ascii="宋体" w:hAnsi="宋体"/>
                <w:szCs w:val="21"/>
                <w:highlight w:val="none"/>
              </w:rPr>
              <w:t>网站（</w:t>
            </w:r>
            <w:r>
              <w:rPr>
                <w:highlight w:val="none"/>
              </w:rPr>
              <w:fldChar w:fldCharType="begin"/>
            </w:r>
            <w:r>
              <w:rPr>
                <w:highlight w:val="none"/>
              </w:rPr>
              <w:instrText xml:space="preserve"> HYPERLINK "http://www.creditchina.gov.cn" </w:instrText>
            </w:r>
            <w:r>
              <w:rPr>
                <w:highlight w:val="none"/>
              </w:rPr>
              <w:fldChar w:fldCharType="separate"/>
            </w:r>
            <w:r>
              <w:rPr>
                <w:rStyle w:val="13"/>
                <w:rFonts w:hint="eastAsia" w:ascii="宋体" w:hAnsi="宋体"/>
                <w:szCs w:val="21"/>
                <w:highlight w:val="none"/>
              </w:rPr>
              <w:t>www.creditchina.gov.cn</w:t>
            </w:r>
            <w:r>
              <w:rPr>
                <w:rStyle w:val="13"/>
                <w:rFonts w:hint="eastAsia" w:ascii="宋体" w:hAnsi="宋体"/>
                <w:szCs w:val="21"/>
                <w:highlight w:val="none"/>
              </w:rPr>
              <w:fldChar w:fldCharType="end"/>
            </w:r>
            <w:r>
              <w:rPr>
                <w:rFonts w:hint="eastAsia" w:ascii="宋体" w:hAnsi="宋体"/>
                <w:szCs w:val="21"/>
                <w:highlight w:val="none"/>
              </w:rPr>
              <w:t>）、中国政府采购网（</w:t>
            </w:r>
            <w:r>
              <w:rPr>
                <w:highlight w:val="none"/>
              </w:rPr>
              <w:fldChar w:fldCharType="begin"/>
            </w:r>
            <w:r>
              <w:rPr>
                <w:highlight w:val="none"/>
              </w:rPr>
              <w:instrText xml:space="preserve"> HYPERLINK "http://www.ccgp.gov.cn" </w:instrText>
            </w:r>
            <w:r>
              <w:rPr>
                <w:highlight w:val="none"/>
              </w:rPr>
              <w:fldChar w:fldCharType="separate"/>
            </w:r>
            <w:r>
              <w:rPr>
                <w:rStyle w:val="13"/>
                <w:rFonts w:hint="eastAsia" w:ascii="宋体" w:hAnsi="宋体"/>
                <w:szCs w:val="21"/>
                <w:highlight w:val="none"/>
              </w:rPr>
              <w:t>www.ccgp.gov.cn</w:t>
            </w:r>
            <w:r>
              <w:rPr>
                <w:rStyle w:val="13"/>
                <w:rFonts w:hint="eastAsia" w:ascii="宋体" w:hAnsi="宋体"/>
                <w:szCs w:val="21"/>
                <w:highlight w:val="none"/>
              </w:rPr>
              <w:fldChar w:fldCharType="end"/>
            </w:r>
            <w:r>
              <w:rPr>
                <w:rFonts w:hint="eastAsia" w:ascii="宋体" w:hAnsi="宋体"/>
                <w:szCs w:val="21"/>
                <w:highlight w:val="none"/>
              </w:rPr>
              <w:t>）、信用山东(credit.shandong.gov.cn)及信用青岛（</w:t>
            </w:r>
            <w:r>
              <w:rPr>
                <w:highlight w:val="none"/>
              </w:rPr>
              <w:fldChar w:fldCharType="begin"/>
            </w:r>
            <w:r>
              <w:rPr>
                <w:highlight w:val="none"/>
              </w:rPr>
              <w:instrText xml:space="preserve"> HYPERLINK "http://www.qingdao.gov.cn/n28356080/index.html" </w:instrText>
            </w:r>
            <w:r>
              <w:rPr>
                <w:highlight w:val="none"/>
              </w:rPr>
              <w:fldChar w:fldCharType="separate"/>
            </w:r>
            <w:r>
              <w:rPr>
                <w:rStyle w:val="13"/>
                <w:rFonts w:hint="eastAsia" w:ascii="宋体" w:hAnsi="宋体"/>
                <w:szCs w:val="21"/>
                <w:highlight w:val="none"/>
              </w:rPr>
              <w:t>www.qingdao.gov.cn/n28356080/index.html</w:t>
            </w:r>
            <w:r>
              <w:rPr>
                <w:rStyle w:val="13"/>
                <w:rFonts w:hint="eastAsia" w:ascii="宋体" w:hAnsi="宋体"/>
                <w:szCs w:val="21"/>
                <w:highlight w:val="none"/>
              </w:rPr>
              <w:fldChar w:fldCharType="end"/>
            </w:r>
            <w:r>
              <w:rPr>
                <w:rFonts w:hint="eastAsia" w:ascii="宋体" w:hAnsi="宋体"/>
                <w:szCs w:val="21"/>
                <w:highlight w:val="none"/>
              </w:rPr>
              <w:t>）查询，未被列入失信被执行人、重大税收违法案件当事人、政府采购严重违法失信行为记录等名单的网页查询截图,并加盖单位公章。</w:t>
            </w:r>
          </w:p>
        </w:tc>
        <w:tc>
          <w:tcPr>
            <w:tcW w:w="709" w:type="dxa"/>
            <w:vAlign w:val="center"/>
          </w:tcPr>
          <w:p w14:paraId="2B7CCD90">
            <w:pPr>
              <w:spacing w:line="380" w:lineRule="exact"/>
              <w:jc w:val="center"/>
              <w:rPr>
                <w:rFonts w:hint="eastAsia" w:ascii="宋体" w:hAnsi="宋体"/>
                <w:szCs w:val="21"/>
                <w:highlight w:val="none"/>
              </w:rPr>
            </w:pPr>
            <w:r>
              <w:rPr>
                <w:rFonts w:ascii="宋体" w:hAnsi="宋体"/>
                <w:szCs w:val="21"/>
                <w:highlight w:val="none"/>
              </w:rPr>
              <w:t>是</w:t>
            </w:r>
          </w:p>
        </w:tc>
      </w:tr>
      <w:tr w14:paraId="06C26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2866663">
            <w:pPr>
              <w:spacing w:line="400" w:lineRule="exact"/>
              <w:jc w:val="center"/>
              <w:rPr>
                <w:rFonts w:hint="eastAsia" w:ascii="宋体" w:hAnsi="宋体"/>
                <w:szCs w:val="21"/>
                <w:highlight w:val="none"/>
              </w:rPr>
            </w:pPr>
            <w:r>
              <w:rPr>
                <w:rFonts w:ascii="宋体" w:hAnsi="宋体"/>
                <w:szCs w:val="21"/>
                <w:highlight w:val="none"/>
              </w:rPr>
              <w:t>7</w:t>
            </w:r>
          </w:p>
        </w:tc>
        <w:tc>
          <w:tcPr>
            <w:tcW w:w="1843" w:type="dxa"/>
            <w:vAlign w:val="center"/>
          </w:tcPr>
          <w:p w14:paraId="3485563F">
            <w:pPr>
              <w:spacing w:line="380" w:lineRule="exact"/>
              <w:jc w:val="left"/>
              <w:rPr>
                <w:rFonts w:hint="eastAsia" w:ascii="宋体" w:hAnsi="宋体"/>
                <w:szCs w:val="21"/>
                <w:highlight w:val="none"/>
              </w:rPr>
            </w:pPr>
            <w:r>
              <w:rPr>
                <w:rFonts w:hint="eastAsia" w:ascii="宋体" w:hAnsi="宋体"/>
                <w:szCs w:val="21"/>
                <w:highlight w:val="none"/>
              </w:rPr>
              <w:t>投标人认为需要提交的其它证明材料。</w:t>
            </w:r>
          </w:p>
        </w:tc>
        <w:tc>
          <w:tcPr>
            <w:tcW w:w="1559" w:type="dxa"/>
            <w:vAlign w:val="center"/>
          </w:tcPr>
          <w:p w14:paraId="38737075">
            <w:pPr>
              <w:spacing w:line="380" w:lineRule="exact"/>
              <w:jc w:val="left"/>
              <w:rPr>
                <w:rFonts w:hint="eastAsia" w:ascii="宋体" w:hAnsi="宋体"/>
                <w:szCs w:val="21"/>
                <w:highlight w:val="none"/>
              </w:rPr>
            </w:pPr>
            <w:r>
              <w:rPr>
                <w:rFonts w:hint="eastAsia" w:ascii="宋体" w:hAnsi="宋体"/>
                <w:szCs w:val="21"/>
                <w:highlight w:val="none"/>
              </w:rPr>
              <w:t>原件或复印件</w:t>
            </w:r>
          </w:p>
        </w:tc>
        <w:tc>
          <w:tcPr>
            <w:tcW w:w="4224" w:type="dxa"/>
            <w:vAlign w:val="center"/>
          </w:tcPr>
          <w:p w14:paraId="42E64AA2">
            <w:pPr>
              <w:spacing w:line="380" w:lineRule="exact"/>
              <w:rPr>
                <w:rFonts w:hint="eastAsia" w:ascii="宋体" w:hAnsi="宋体"/>
                <w:szCs w:val="21"/>
                <w:highlight w:val="none"/>
              </w:rPr>
            </w:pPr>
            <w:r>
              <w:rPr>
                <w:rFonts w:hint="eastAsia" w:ascii="宋体" w:hAnsi="宋体"/>
                <w:szCs w:val="21"/>
                <w:highlight w:val="none"/>
              </w:rPr>
              <w:t>投标人认为需要提交的其它证明材料。</w:t>
            </w:r>
          </w:p>
        </w:tc>
        <w:tc>
          <w:tcPr>
            <w:tcW w:w="709" w:type="dxa"/>
            <w:vAlign w:val="center"/>
          </w:tcPr>
          <w:p w14:paraId="30DCD092">
            <w:pPr>
              <w:spacing w:line="380" w:lineRule="exact"/>
              <w:jc w:val="center"/>
              <w:rPr>
                <w:rFonts w:hint="eastAsia" w:ascii="宋体" w:hAnsi="宋体"/>
                <w:szCs w:val="21"/>
                <w:highlight w:val="none"/>
              </w:rPr>
            </w:pPr>
            <w:r>
              <w:rPr>
                <w:rFonts w:hint="eastAsia" w:ascii="宋体" w:hAnsi="宋体"/>
                <w:szCs w:val="21"/>
                <w:highlight w:val="none"/>
              </w:rPr>
              <w:t>否</w:t>
            </w:r>
          </w:p>
        </w:tc>
      </w:tr>
    </w:tbl>
    <w:p w14:paraId="35F7C60D">
      <w:pPr>
        <w:pStyle w:val="8"/>
        <w:ind w:firstLine="480"/>
        <w:rPr>
          <w:rFonts w:hint="eastAsia" w:eastAsia="仿宋_GB2312"/>
          <w:highlight w:val="none"/>
        </w:rPr>
      </w:pPr>
    </w:p>
    <w:p w14:paraId="4943CC8C">
      <w:pPr>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备注：</w:t>
      </w:r>
    </w:p>
    <w:p w14:paraId="33D15B9F">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（1）开标时，供应商应当提交上述证明材料</w:t>
      </w:r>
      <w:r>
        <w:rPr>
          <w:rFonts w:hint="eastAsia" w:ascii="仿宋_GB2312" w:hAnsi="仿宋_GB2312" w:eastAsia="仿宋_GB2312" w:cs="仿宋_GB2312"/>
          <w:sz w:val="24"/>
          <w:szCs w:val="24"/>
          <w:highlight w:val="none"/>
          <w:u w:val="single"/>
        </w:rPr>
        <w:t xml:space="preserve"> 1-</w:t>
      </w:r>
      <w:r>
        <w:rPr>
          <w:rFonts w:ascii="仿宋_GB2312" w:hAnsi="仿宋_GB2312" w:eastAsia="仿宋_GB2312" w:cs="仿宋_GB2312"/>
          <w:sz w:val="24"/>
          <w:szCs w:val="24"/>
          <w:highlight w:val="none"/>
          <w:u w:val="single"/>
        </w:rPr>
        <w:t>7</w:t>
      </w:r>
      <w:r>
        <w:rPr>
          <w:rFonts w:hint="eastAsia" w:ascii="仿宋_GB2312" w:hAnsi="仿宋_GB2312" w:eastAsia="仿宋_GB2312" w:cs="仿宋_GB2312"/>
          <w:sz w:val="24"/>
          <w:szCs w:val="24"/>
          <w:highlight w:val="none"/>
        </w:rPr>
        <w:t>项，未提交或提交不全的视为资格性、符合性审查不合格。</w:t>
      </w:r>
    </w:p>
    <w:p w14:paraId="3AD4D9FF">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（2）要求提供的证明材料可以是复印件的，需加盖供应商公章。</w:t>
      </w:r>
    </w:p>
    <w:p w14:paraId="22337ED3">
      <w:pPr>
        <w:spacing w:line="360" w:lineRule="auto"/>
        <w:ind w:firstLine="478" w:firstLineChars="171"/>
        <w:rPr>
          <w:rStyle w:val="14"/>
          <w:rFonts w:hint="eastAsia" w:ascii="仿宋_GB2312" w:hAnsi="仿宋_GB2312" w:eastAsia="仿宋_GB2312" w:cs="仿宋_GB2312"/>
          <w:highlight w:val="none"/>
        </w:rPr>
      </w:pPr>
      <w:bookmarkStart w:id="7" w:name="_Toc434614159"/>
      <w:r>
        <w:rPr>
          <w:rStyle w:val="14"/>
          <w:rFonts w:hint="eastAsia" w:ascii="仿宋_GB2312" w:hAnsi="仿宋_GB2312" w:eastAsia="仿宋_GB2312" w:cs="仿宋_GB2312"/>
          <w:highlight w:val="none"/>
        </w:rPr>
        <w:t>2.其他规定</w:t>
      </w:r>
      <w:bookmarkEnd w:id="7"/>
    </w:p>
    <w:p w14:paraId="0F51C9A2">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2.1供应商的资格证明材料应当真实、有效、完整，字迹、印章要清晰。</w:t>
      </w:r>
    </w:p>
    <w:p w14:paraId="19DF7B1C">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2.2谈判文件中所要求的相关证明资料原件，应当在递交响应文件截止时间前与响应文件一并递交，逾期拒绝接收。</w:t>
      </w:r>
    </w:p>
    <w:p w14:paraId="36C297C7">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2.3供应商需收回的证明材料（如合同书、营业执照、相关许可证等）待评审完毕后退还。不需收回的证明材料原件和响应文件一起不予退还，需收回的证明材料的复印件（页数过多时，可以提供证明材料的主要条款页复印件）、其他证明材料的复印件应当装订于响应文件中。</w:t>
      </w:r>
    </w:p>
    <w:p w14:paraId="2B5811E2">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2.4营业执照等原件无法提供的，可提供由发证机关出具的证明材料原件或公证处出具的公证书原件。</w:t>
      </w:r>
    </w:p>
    <w:p w14:paraId="04C211AF">
      <w:pPr>
        <w:spacing w:after="156" w:afterLines="50"/>
        <w:jc w:val="center"/>
        <w:outlineLvl w:val="1"/>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br w:type="page"/>
      </w:r>
      <w:bookmarkStart w:id="8" w:name="_Toc126742727"/>
      <w:r>
        <w:rPr>
          <w:rFonts w:hint="eastAsia" w:ascii="仿宋_GB2312" w:hAnsi="仿宋_GB2312" w:eastAsia="仿宋_GB2312" w:cs="仿宋_GB2312"/>
          <w:sz w:val="28"/>
          <w:szCs w:val="28"/>
          <w:highlight w:val="none"/>
        </w:rPr>
        <w:t>第四章  采购需求</w:t>
      </w:r>
      <w:bookmarkEnd w:id="8"/>
    </w:p>
    <w:p w14:paraId="07944D33">
      <w:pPr>
        <w:spacing w:line="360" w:lineRule="auto"/>
        <w:ind w:firstLine="478" w:firstLineChars="171"/>
        <w:rPr>
          <w:rStyle w:val="14"/>
          <w:rFonts w:hint="eastAsia" w:ascii="仿宋_GB2312" w:hAnsi="仿宋_GB2312" w:eastAsia="仿宋_GB2312" w:cs="仿宋_GB2312"/>
          <w:highlight w:val="none"/>
        </w:rPr>
      </w:pPr>
      <w:bookmarkStart w:id="9" w:name="_Toc27746"/>
      <w:bookmarkStart w:id="10" w:name="_Toc5684"/>
      <w:bookmarkStart w:id="11" w:name="_Toc18370"/>
      <w:bookmarkStart w:id="12" w:name="_Toc469327358"/>
      <w:r>
        <w:rPr>
          <w:rStyle w:val="14"/>
          <w:rFonts w:hint="eastAsia" w:ascii="仿宋_GB2312" w:hAnsi="仿宋_GB2312" w:eastAsia="仿宋_GB2312" w:cs="仿宋_GB2312"/>
          <w:highlight w:val="none"/>
        </w:rPr>
        <w:t>1.项目说明</w:t>
      </w:r>
      <w:bookmarkEnd w:id="9"/>
      <w:bookmarkEnd w:id="10"/>
      <w:bookmarkEnd w:id="11"/>
    </w:p>
    <w:p w14:paraId="1E03F7FE">
      <w:pPr>
        <w:spacing w:line="360" w:lineRule="auto"/>
        <w:ind w:firstLine="480" w:firstLineChars="200"/>
        <w:rPr>
          <w:rFonts w:hint="eastAsia" w:ascii="仿宋_GB2312" w:hAnsi="仿宋_GB2312" w:eastAsia="仿宋_GB2312" w:cs="仿宋_GB2312"/>
          <w:sz w:val="24"/>
          <w:highlight w:val="none"/>
        </w:rPr>
      </w:pPr>
      <w:bookmarkStart w:id="13" w:name="c__506404128_"/>
      <w:r>
        <w:rPr>
          <w:rFonts w:hint="eastAsia" w:ascii="仿宋_GB2312" w:hAnsi="仿宋_GB2312" w:eastAsia="仿宋_GB2312" w:cs="仿宋_GB2312"/>
          <w:sz w:val="24"/>
          <w:highlight w:val="none"/>
        </w:rPr>
        <w:t>1.1本章内容是根据采购项目的实际需求制定的。</w:t>
      </w:r>
    </w:p>
    <w:p w14:paraId="573E43E6">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1.2本项目共分为</w:t>
      </w:r>
      <w:r>
        <w:rPr>
          <w:rFonts w:hint="eastAsia" w:ascii="仿宋_GB2312" w:hAnsi="仿宋_GB2312" w:eastAsia="仿宋_GB2312" w:cs="仿宋_GB2312"/>
          <w:sz w:val="24"/>
          <w:highlight w:val="none"/>
          <w:u w:val="single"/>
        </w:rPr>
        <w:t xml:space="preserve"> 1 </w:t>
      </w:r>
      <w:r>
        <w:rPr>
          <w:rFonts w:hint="eastAsia" w:ascii="仿宋_GB2312" w:hAnsi="仿宋_GB2312" w:eastAsia="仿宋_GB2312" w:cs="仿宋_GB2312"/>
          <w:sz w:val="24"/>
          <w:highlight w:val="none"/>
        </w:rPr>
        <w:t>个包进行招标。</w:t>
      </w:r>
      <w:r>
        <w:rPr>
          <w:rFonts w:hint="eastAsia" w:ascii="仿宋_GB2312" w:hAnsi="仿宋_GB2312" w:eastAsia="仿宋_GB2312" w:cs="仿宋_GB2312"/>
          <w:kern w:val="1"/>
          <w:sz w:val="24"/>
          <w:szCs w:val="24"/>
          <w:highlight w:val="none"/>
        </w:rPr>
        <w:t>供应商</w:t>
      </w:r>
      <w:r>
        <w:rPr>
          <w:rFonts w:hint="eastAsia" w:ascii="仿宋_GB2312" w:hAnsi="仿宋_GB2312" w:eastAsia="仿宋_GB2312" w:cs="仿宋_GB2312"/>
          <w:sz w:val="24"/>
          <w:highlight w:val="none"/>
        </w:rPr>
        <w:t>所报价格应为含税全包价，包含提供相关服务的所有费用，合同存续期间采购人不额外支付任何费用。</w:t>
      </w:r>
    </w:p>
    <w:p w14:paraId="48A25360">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highlight w:val="none"/>
        </w:rPr>
        <w:t>1.3属于信息网络开发服务的，</w:t>
      </w:r>
      <w:r>
        <w:rPr>
          <w:rFonts w:hint="eastAsia" w:ascii="仿宋_GB2312" w:hAnsi="仿宋_GB2312" w:eastAsia="仿宋_GB2312" w:cs="仿宋_GB2312"/>
          <w:kern w:val="1"/>
          <w:sz w:val="24"/>
          <w:szCs w:val="24"/>
          <w:highlight w:val="none"/>
        </w:rPr>
        <w:t>供应商</w:t>
      </w:r>
      <w:r>
        <w:rPr>
          <w:rFonts w:hint="eastAsia" w:ascii="仿宋_GB2312" w:hAnsi="仿宋_GB2312" w:eastAsia="仿宋_GB2312" w:cs="仿宋_GB2312"/>
          <w:sz w:val="24"/>
          <w:highlight w:val="none"/>
        </w:rPr>
        <w:t>中标后应向采购人提供源代码以及文档等技术资料。</w:t>
      </w:r>
      <w:bookmarkEnd w:id="13"/>
    </w:p>
    <w:p w14:paraId="58084BB1">
      <w:pPr>
        <w:spacing w:before="156" w:beforeLines="50" w:line="360" w:lineRule="auto"/>
        <w:ind w:firstLine="560" w:firstLineChars="200"/>
        <w:rPr>
          <w:rFonts w:hint="eastAsia" w:ascii="仿宋" w:hAnsi="仿宋" w:eastAsia="仿宋_GB2312"/>
          <w:color w:val="000000"/>
          <w:sz w:val="24"/>
          <w:highlight w:val="none"/>
        </w:rPr>
      </w:pPr>
      <w:r>
        <w:rPr>
          <w:rStyle w:val="14"/>
          <w:rFonts w:hint="eastAsia" w:ascii="仿宋_GB2312" w:hAnsi="仿宋_GB2312" w:eastAsia="仿宋_GB2312" w:cs="仿宋_GB2312"/>
          <w:highlight w:val="none"/>
        </w:rPr>
        <w:t>2.服务内容要求（包括但不限于以下所述）</w:t>
      </w:r>
    </w:p>
    <w:p w14:paraId="4FDE6FF7">
      <w:pPr>
        <w:spacing w:line="360" w:lineRule="auto"/>
        <w:ind w:firstLine="410" w:firstLineChars="17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2.1 监测目的</w:t>
      </w:r>
    </w:p>
    <w:p w14:paraId="214746FB">
      <w:pPr>
        <w:spacing w:line="360" w:lineRule="auto"/>
        <w:ind w:firstLine="410" w:firstLineChars="17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本项目目标物是一处重要建筑物，</w:t>
      </w:r>
      <w:r>
        <w:rPr>
          <w:rFonts w:hint="eastAsia" w:ascii="仿宋_GB2312" w:hAnsi="仿宋_GB2312" w:eastAsia="仿宋_GB2312" w:cs="仿宋_GB2312"/>
          <w:sz w:val="24"/>
          <w:highlight w:val="none"/>
          <w:lang w:val="en-US" w:eastAsia="zh-CN"/>
        </w:rPr>
        <w:t>根据2024年5月10日《楼山创忆空间保留原建构筑物检测鉴定项目——1#筒仓补充检测内容》要求，</w:t>
      </w:r>
      <w:r>
        <w:rPr>
          <w:rFonts w:hint="eastAsia" w:ascii="仿宋_GB2312" w:hAnsi="仿宋_GB2312" w:eastAsia="仿宋_GB2312" w:cs="仿宋_GB2312"/>
          <w:sz w:val="24"/>
          <w:highlight w:val="none"/>
        </w:rPr>
        <w:t>为保障其结构安全，拟对其进行倾斜自动化监测。</w:t>
      </w:r>
    </w:p>
    <w:p w14:paraId="409E9878">
      <w:pPr>
        <w:spacing w:line="360" w:lineRule="auto"/>
        <w:ind w:firstLine="410" w:firstLineChars="17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2.2 监测依据</w:t>
      </w:r>
    </w:p>
    <w:p w14:paraId="7CA719D3">
      <w:pPr>
        <w:spacing w:line="360" w:lineRule="auto"/>
        <w:ind w:firstLine="410" w:firstLineChars="17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《建筑变形测量规范》JGJ8-2016；</w:t>
      </w:r>
    </w:p>
    <w:p w14:paraId="3F482835">
      <w:pPr>
        <w:spacing w:line="360" w:lineRule="auto"/>
        <w:ind w:firstLine="410" w:firstLineChars="17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《工程测量标准》GB50026-2020；</w:t>
      </w:r>
    </w:p>
    <w:p w14:paraId="0E2BE5A6">
      <w:pPr>
        <w:spacing w:line="360" w:lineRule="auto"/>
        <w:ind w:firstLine="410" w:firstLineChars="17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其他与项目有关勘察设计与施工图纸等资料。</w:t>
      </w:r>
    </w:p>
    <w:p w14:paraId="7101E7C2">
      <w:pPr>
        <w:spacing w:line="360" w:lineRule="auto"/>
        <w:ind w:firstLine="410" w:firstLineChars="17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2.3 监测原则</w:t>
      </w:r>
    </w:p>
    <w:p w14:paraId="29348C62">
      <w:pPr>
        <w:spacing w:line="360" w:lineRule="auto"/>
        <w:ind w:firstLine="410" w:firstLineChars="17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埋设于结构上的监测元件应尽量减少对结构正常受力的影响；</w:t>
      </w:r>
    </w:p>
    <w:p w14:paraId="20B211B2">
      <w:pPr>
        <w:spacing w:line="360" w:lineRule="auto"/>
        <w:ind w:firstLine="410" w:firstLineChars="17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监测数据必须是可靠真实的，数据的可靠性由测试元件安装或埋设的可靠性、监测仪器的精度来保证；</w:t>
      </w:r>
    </w:p>
    <w:p w14:paraId="6A5DA065">
      <w:pPr>
        <w:spacing w:line="360" w:lineRule="auto"/>
        <w:ind w:firstLine="410" w:firstLineChars="17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应按照工程具体情况并结合相关文件预先设定预警值并严格遵守预警制度，</w:t>
      </w:r>
      <w:bookmarkStart w:id="14" w:name="_Hlk178323034"/>
      <w:r>
        <w:rPr>
          <w:rFonts w:hint="eastAsia" w:ascii="仿宋_GB2312" w:hAnsi="仿宋_GB2312" w:eastAsia="仿宋_GB2312" w:cs="仿宋_GB2312"/>
          <w:sz w:val="24"/>
          <w:highlight w:val="none"/>
        </w:rPr>
        <w:t>预警值应包括变形量值及其变化速率</w:t>
      </w:r>
      <w:bookmarkEnd w:id="14"/>
      <w:r>
        <w:rPr>
          <w:rFonts w:hint="eastAsia" w:ascii="仿宋_GB2312" w:hAnsi="仿宋_GB2312" w:eastAsia="仿宋_GB2312" w:cs="仿宋_GB2312"/>
          <w:sz w:val="24"/>
          <w:highlight w:val="none"/>
        </w:rPr>
        <w:t>；</w:t>
      </w:r>
    </w:p>
    <w:p w14:paraId="31338468">
      <w:pPr>
        <w:spacing w:line="360" w:lineRule="auto"/>
        <w:ind w:firstLine="410" w:firstLineChars="17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监测应整理完整的监测记录表、数据报表、形象的图表和曲线，监测结束后编写监测总结报告。</w:t>
      </w:r>
    </w:p>
    <w:p w14:paraId="74243258">
      <w:pPr>
        <w:spacing w:line="360" w:lineRule="auto"/>
        <w:ind w:firstLine="410" w:firstLineChars="17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自动化监测系统的设计应满足一定的原则，尽量做到可靠、经济、合理。监测系统是提供获取结构信息的工具，使决策者可以针对特定目标做出正确的决策，设计原则如下：</w:t>
      </w:r>
    </w:p>
    <w:p w14:paraId="2BAC5CCC">
      <w:pPr>
        <w:spacing w:line="360" w:lineRule="auto"/>
        <w:ind w:firstLine="410" w:firstLineChars="17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（1）保证系统的有效性。</w:t>
      </w:r>
    </w:p>
    <w:p w14:paraId="0E70B748">
      <w:pPr>
        <w:spacing w:line="360" w:lineRule="auto"/>
        <w:ind w:firstLine="410" w:firstLineChars="17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（2）保证系统的可靠性。</w:t>
      </w:r>
    </w:p>
    <w:p w14:paraId="15340F57">
      <w:pPr>
        <w:spacing w:line="360" w:lineRule="auto"/>
        <w:ind w:firstLine="410" w:firstLineChars="17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（3）保证系统的先进性。</w:t>
      </w:r>
    </w:p>
    <w:p w14:paraId="093D2957">
      <w:pPr>
        <w:spacing w:line="360" w:lineRule="auto"/>
        <w:ind w:firstLine="410" w:firstLineChars="17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（4）可操作和易于维护性。</w:t>
      </w:r>
    </w:p>
    <w:p w14:paraId="0A67B2F2">
      <w:pPr>
        <w:spacing w:line="360" w:lineRule="auto"/>
        <w:ind w:firstLine="410" w:firstLineChars="17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（5）系统应该具有很好的开放性、兼容性。</w:t>
      </w:r>
    </w:p>
    <w:p w14:paraId="370A6721">
      <w:pPr>
        <w:spacing w:line="360" w:lineRule="auto"/>
        <w:ind w:firstLine="410" w:firstLineChars="17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（6）以最优成本控制。</w:t>
      </w:r>
    </w:p>
    <w:p w14:paraId="4913FAC9">
      <w:pPr>
        <w:spacing w:line="360" w:lineRule="auto"/>
        <w:ind w:firstLine="410" w:firstLineChars="17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总之，系统坚持贯彻“技术可行、实施可能、经济合理”的基本原则，使得监测系统做到可用、实用、好用的程度，充分发挥作用。</w:t>
      </w:r>
    </w:p>
    <w:p w14:paraId="30720AF6">
      <w:pPr>
        <w:spacing w:line="360" w:lineRule="auto"/>
        <w:ind w:firstLine="410" w:firstLineChars="17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2.4 监测项目</w:t>
      </w:r>
    </w:p>
    <w:p w14:paraId="0A2F467D">
      <w:pPr>
        <w:spacing w:line="360" w:lineRule="auto"/>
        <w:ind w:firstLine="410" w:firstLineChars="17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建（构）筑物倾斜监测</w:t>
      </w:r>
    </w:p>
    <w:p w14:paraId="04D4E701">
      <w:pPr>
        <w:spacing w:line="360" w:lineRule="auto"/>
        <w:ind w:firstLine="410" w:firstLineChars="17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2.5 设备安装</w:t>
      </w:r>
    </w:p>
    <w:p w14:paraId="3D2D35B2">
      <w:pPr>
        <w:spacing w:line="360" w:lineRule="auto"/>
        <w:ind w:firstLine="410" w:firstLineChars="17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采集仪、传感器的安装及自动化监测系统的调试，保证其能在项目周期内稳定运行。</w:t>
      </w:r>
    </w:p>
    <w:p w14:paraId="5A867649">
      <w:pPr>
        <w:spacing w:line="360" w:lineRule="auto"/>
        <w:ind w:firstLine="410" w:firstLineChars="17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2.6 监测控制标准及预警值确定原则</w:t>
      </w:r>
    </w:p>
    <w:p w14:paraId="72ED82B8">
      <w:pPr>
        <w:spacing w:line="360" w:lineRule="auto"/>
        <w:ind w:firstLine="410" w:firstLineChars="17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监测预警值应符合工程设计的限值以及监测对象的控制要求，监测预警值应以监测项目的累计变化量及其变化速率两个值控制。</w:t>
      </w:r>
    </w:p>
    <w:p w14:paraId="099122F2">
      <w:pPr>
        <w:spacing w:line="360" w:lineRule="auto"/>
        <w:ind w:firstLine="410" w:firstLineChars="17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监测预警值的确定应遵循以下几条原则：</w:t>
      </w:r>
    </w:p>
    <w:p w14:paraId="1FF64375">
      <w:pPr>
        <w:spacing w:line="360" w:lineRule="auto"/>
        <w:ind w:firstLine="410" w:firstLineChars="17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（1）满足设计计算的要求，不能大于设计值；</w:t>
      </w:r>
    </w:p>
    <w:p w14:paraId="4586930E">
      <w:pPr>
        <w:spacing w:line="360" w:lineRule="auto"/>
        <w:ind w:firstLine="410" w:firstLineChars="17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（2）满足监测对象的安全要求，达到保护的目的；</w:t>
      </w:r>
    </w:p>
    <w:p w14:paraId="56C458BA">
      <w:pPr>
        <w:spacing w:line="360" w:lineRule="auto"/>
        <w:ind w:firstLine="410" w:firstLineChars="17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（3）对于相同条件的保护对象，应该结合周围环境的要求和具体的施工情况综合确定；</w:t>
      </w:r>
    </w:p>
    <w:p w14:paraId="458CACD7">
      <w:pPr>
        <w:spacing w:line="360" w:lineRule="auto"/>
        <w:ind w:firstLine="410" w:firstLineChars="17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（4）满足现行的有关规范、规程的要求；</w:t>
      </w:r>
    </w:p>
    <w:p w14:paraId="40CF82B5">
      <w:pPr>
        <w:spacing w:line="360" w:lineRule="auto"/>
        <w:ind w:firstLine="410" w:firstLineChars="17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（5）满足各保护对象的主管部门提出的要求；</w:t>
      </w:r>
    </w:p>
    <w:p w14:paraId="7AA83C3D">
      <w:pPr>
        <w:spacing w:line="360" w:lineRule="auto"/>
        <w:ind w:firstLine="410" w:firstLineChars="17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（6）在保证安全的前提下，综合考虑工程质量和经济等因素，切实可行。</w:t>
      </w:r>
    </w:p>
    <w:p w14:paraId="3A9F529D">
      <w:pPr>
        <w:spacing w:line="360" w:lineRule="auto"/>
        <w:ind w:firstLine="410" w:firstLineChars="17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2.7 监测频率</w:t>
      </w:r>
    </w:p>
    <w:p w14:paraId="7CC916A1">
      <w:pPr>
        <w:spacing w:line="360" w:lineRule="auto"/>
        <w:ind w:firstLine="410" w:firstLineChars="17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本项目为自动化监测项目，监测频率可根据需要进行调整，且结合本项目情况及采购人的其他要求，最高频率为1次/2小时，最低频率为1次/天。</w:t>
      </w:r>
    </w:p>
    <w:p w14:paraId="6E1E0419">
      <w:pPr>
        <w:spacing w:line="360" w:lineRule="auto"/>
        <w:ind w:firstLine="410" w:firstLineChars="17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当出现基础附近因大量堆载或卸载、场地降雨长期积水等导致倾斜速度加快时，应提高监测频率。</w:t>
      </w:r>
    </w:p>
    <w:p w14:paraId="13E65D5E">
      <w:pPr>
        <w:spacing w:line="360" w:lineRule="auto"/>
        <w:ind w:firstLine="412" w:firstLineChars="171"/>
        <w:rPr>
          <w:rFonts w:hint="default" w:ascii="仿宋_GB2312" w:hAnsi="仿宋_GB2312" w:eastAsia="仿宋_GB2312" w:cs="仿宋_GB2312"/>
          <w:b/>
          <w:bCs/>
          <w:sz w:val="24"/>
          <w:highlight w:val="none"/>
          <w:lang w:val="en-US" w:eastAsia="zh-CN"/>
        </w:rPr>
      </w:pPr>
      <w:r>
        <w:rPr>
          <w:rFonts w:hint="eastAsia" w:ascii="仿宋_GB2312" w:hAnsi="仿宋_GB2312" w:eastAsia="仿宋_GB2312" w:cs="仿宋_GB2312"/>
          <w:b/>
          <w:bCs/>
          <w:sz w:val="24"/>
          <w:highlight w:val="none"/>
        </w:rPr>
        <w:t>若在此过程中筒仓倾斜变化率</w:t>
      </w:r>
      <w:r>
        <w:rPr>
          <w:rFonts w:hint="eastAsia" w:ascii="仿宋_GB2312" w:hAnsi="仿宋_GB2312" w:eastAsia="仿宋_GB2312" w:cs="仿宋_GB2312"/>
          <w:b/>
          <w:bCs/>
          <w:sz w:val="24"/>
          <w:highlight w:val="none"/>
          <w:lang w:val="en-US" w:eastAsia="zh-CN"/>
        </w:rPr>
        <w:t>接近</w:t>
      </w:r>
      <w:r>
        <w:rPr>
          <w:rFonts w:hint="eastAsia" w:ascii="仿宋_GB2312" w:hAnsi="仿宋_GB2312" w:eastAsia="仿宋_GB2312" w:cs="仿宋_GB2312"/>
          <w:b/>
          <w:bCs/>
          <w:sz w:val="24"/>
          <w:highlight w:val="none"/>
        </w:rPr>
        <w:t>1‰</w:t>
      </w:r>
      <w:r>
        <w:rPr>
          <w:rFonts w:hint="eastAsia" w:ascii="仿宋_GB2312" w:hAnsi="仿宋_GB2312" w:eastAsia="仿宋_GB2312" w:cs="仿宋_GB2312"/>
          <w:b/>
          <w:bCs/>
          <w:sz w:val="24"/>
          <w:highlight w:val="none"/>
          <w:lang w:eastAsia="zh-CN"/>
        </w:rPr>
        <w:t>，</w:t>
      </w:r>
      <w:r>
        <w:rPr>
          <w:rFonts w:hint="eastAsia" w:ascii="仿宋_GB2312" w:hAnsi="仿宋_GB2312" w:eastAsia="仿宋_GB2312" w:cs="仿宋_GB2312"/>
          <w:b/>
          <w:bCs/>
          <w:sz w:val="24"/>
          <w:highlight w:val="none"/>
          <w:lang w:val="en-US" w:eastAsia="zh-CN"/>
        </w:rPr>
        <w:t>须立即通知甲方及相关单位，并采取加密监测等相关措施。</w:t>
      </w:r>
    </w:p>
    <w:p w14:paraId="1BD56393">
      <w:pPr>
        <w:spacing w:line="360" w:lineRule="auto"/>
        <w:ind w:firstLine="410" w:firstLineChars="17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2.8 工作量</w:t>
      </w:r>
    </w:p>
    <w:p w14:paraId="503DA566">
      <w:pPr>
        <w:spacing w:line="360" w:lineRule="auto"/>
        <w:ind w:firstLine="410" w:firstLineChars="171"/>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工作量清单</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6"/>
        <w:gridCol w:w="3096"/>
        <w:gridCol w:w="3094"/>
      </w:tblGrid>
      <w:tr w14:paraId="5F69A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Pr>
          <w:p w14:paraId="05176664">
            <w:pPr>
              <w:spacing w:line="360" w:lineRule="auto"/>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序号</w:t>
            </w:r>
          </w:p>
        </w:tc>
        <w:tc>
          <w:tcPr>
            <w:tcW w:w="1667" w:type="pct"/>
          </w:tcPr>
          <w:p w14:paraId="6DBFBE2D">
            <w:pPr>
              <w:spacing w:line="360" w:lineRule="auto"/>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监测项目</w:t>
            </w:r>
          </w:p>
        </w:tc>
        <w:tc>
          <w:tcPr>
            <w:tcW w:w="1667" w:type="pct"/>
          </w:tcPr>
          <w:p w14:paraId="6FEFB8DC">
            <w:pPr>
              <w:spacing w:line="360" w:lineRule="auto"/>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点数</w:t>
            </w:r>
          </w:p>
        </w:tc>
      </w:tr>
      <w:tr w14:paraId="14952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Pr>
          <w:p w14:paraId="72D7FD7D">
            <w:pPr>
              <w:spacing w:line="360" w:lineRule="auto"/>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1667" w:type="pct"/>
          </w:tcPr>
          <w:p w14:paraId="63249972">
            <w:pPr>
              <w:spacing w:line="360" w:lineRule="auto"/>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建（构）筑物倾斜</w:t>
            </w:r>
          </w:p>
        </w:tc>
        <w:tc>
          <w:tcPr>
            <w:tcW w:w="1667" w:type="pct"/>
          </w:tcPr>
          <w:p w14:paraId="0E1FA021">
            <w:pPr>
              <w:spacing w:line="360" w:lineRule="auto"/>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12</w:t>
            </w:r>
          </w:p>
        </w:tc>
      </w:tr>
    </w:tbl>
    <w:p w14:paraId="2D1E75A5">
      <w:pPr>
        <w:spacing w:line="360" w:lineRule="auto"/>
        <w:ind w:firstLine="478" w:firstLineChars="171"/>
        <w:rPr>
          <w:rStyle w:val="14"/>
          <w:rFonts w:hint="eastAsia" w:ascii="仿宋_GB2312" w:hAnsi="仿宋_GB2312" w:eastAsia="仿宋_GB2312" w:cs="仿宋_GB2312"/>
          <w:highlight w:val="none"/>
        </w:rPr>
      </w:pPr>
      <w:r>
        <w:rPr>
          <w:rStyle w:val="14"/>
          <w:rFonts w:hint="eastAsia" w:ascii="仿宋_GB2312" w:hAnsi="仿宋_GB2312" w:eastAsia="仿宋_GB2312" w:cs="仿宋_GB2312"/>
          <w:highlight w:val="none"/>
        </w:rPr>
        <w:t>3.商务条件</w:t>
      </w:r>
    </w:p>
    <w:p w14:paraId="01F32BB0">
      <w:pPr>
        <w:wordWrap w:val="0"/>
        <w:topLinePunct/>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★3.1 服务期限：</w:t>
      </w:r>
      <w:r>
        <w:rPr>
          <w:rFonts w:hint="eastAsia" w:ascii="仿宋_GB2312" w:hAnsi="仿宋_GB2312" w:eastAsia="仿宋_GB2312" w:cs="仿宋_GB2312"/>
          <w:sz w:val="24"/>
          <w:szCs w:val="24"/>
          <w:highlight w:val="none"/>
          <w:lang w:val="en-US" w:eastAsia="zh-CN"/>
        </w:rPr>
        <w:t>服务至竣工验收</w:t>
      </w:r>
      <w:r>
        <w:rPr>
          <w:rFonts w:hint="eastAsia" w:ascii="仿宋_GB2312" w:hAnsi="仿宋_GB2312" w:eastAsia="仿宋_GB2312" w:cs="仿宋_GB2312"/>
          <w:sz w:val="24"/>
          <w:szCs w:val="24"/>
          <w:highlight w:val="none"/>
        </w:rPr>
        <w:t>后一年。</w:t>
      </w:r>
    </w:p>
    <w:p w14:paraId="29A507F0">
      <w:pPr>
        <w:wordWrap w:val="0"/>
        <w:topLinePunct/>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3.2 服务地点：采购人指定地点。</w:t>
      </w:r>
    </w:p>
    <w:p w14:paraId="1B53F076">
      <w:pPr>
        <w:wordWrap w:val="0"/>
        <w:topLinePunct/>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 付款方式：</w:t>
      </w:r>
    </w:p>
    <w:p w14:paraId="7048D45C">
      <w:pPr>
        <w:wordWrap w:val="0"/>
        <w:topLinePunct/>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合同中具体约定。</w:t>
      </w:r>
    </w:p>
    <w:p w14:paraId="7C923056">
      <w:pPr>
        <w:wordWrap w:val="0"/>
        <w:topLinePunct/>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3.4质保要求：在服务期内，如果服务成果存在缺陷，包括潜在的缺陷或者不能达到服务对象要求等，中标人应立即改正或者更换，保证达到合同规定的服务要求。</w:t>
      </w:r>
    </w:p>
    <w:p w14:paraId="3420B80C">
      <w:pPr>
        <w:wordWrap w:val="0"/>
        <w:topLinePunct/>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3.5技术支持：采用现场支持的方式，中标人必须保证在项目全过程中，随时根据招标人需要要求相关人员到现场汇报、讨论、研究方案，响应时间不得超过8小时。</w:t>
      </w:r>
    </w:p>
    <w:p w14:paraId="2B8C910E">
      <w:pPr>
        <w:wordWrap w:val="0"/>
        <w:topLinePunct/>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3.6服务成果</w:t>
      </w:r>
      <w:r>
        <w:rPr>
          <w:rFonts w:hint="eastAsia" w:ascii="仿宋_GB2312" w:hAnsi="仿宋_GB2312" w:eastAsia="仿宋_GB2312" w:cs="仿宋_GB2312"/>
          <w:sz w:val="24"/>
          <w:szCs w:val="24"/>
          <w:highlight w:val="none"/>
          <w:lang w:val="en-US" w:eastAsia="zh-CN"/>
        </w:rPr>
        <w:t>提供及</w:t>
      </w:r>
      <w:r>
        <w:rPr>
          <w:rFonts w:hint="eastAsia" w:ascii="仿宋_GB2312" w:hAnsi="仿宋_GB2312" w:eastAsia="仿宋_GB2312" w:cs="仿宋_GB2312"/>
          <w:sz w:val="24"/>
          <w:szCs w:val="24"/>
          <w:highlight w:val="none"/>
        </w:rPr>
        <w:t>验收</w:t>
      </w:r>
    </w:p>
    <w:p w14:paraId="2ABD1213">
      <w:pPr>
        <w:wordWrap w:val="0"/>
        <w:topLinePunct/>
        <w:spacing w:line="360" w:lineRule="auto"/>
        <w:ind w:firstLine="480" w:firstLineChars="200"/>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采购文件中的服务按照国标、部标、行业标准或者双方技术协议或者采购文件、投标文件、书面承诺提供服务。如对服务以及质量有争议，采购人组织相关部门对服务和质量进行检验或者验收，未达到服务要求的，由成交供应商承担全部责任。</w:t>
      </w:r>
    </w:p>
    <w:p w14:paraId="74848650">
      <w:pPr>
        <w:wordWrap w:val="0"/>
        <w:topLinePunct/>
        <w:spacing w:line="360" w:lineRule="auto"/>
        <w:ind w:firstLine="480" w:firstLineChars="200"/>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中标人第一个月每周提供一次正式报告，第二个月每半月提供一次正式报告，第三个月起每月提供一次正式报告，全部监测结束后提供一份汇总报告。遇特殊情况及采购人特殊要求应根据要求提供，监测成果数据应按采购人要求并入CIM信息化平台。</w:t>
      </w:r>
    </w:p>
    <w:p w14:paraId="1D64B35C">
      <w:pPr>
        <w:wordWrap w:val="0"/>
        <w:topLinePunct/>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3.7后续服务</w:t>
      </w:r>
    </w:p>
    <w:p w14:paraId="2187C80B">
      <w:pPr>
        <w:wordWrap w:val="0"/>
        <w:topLinePunct/>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成交供应商应提供及时周到的后续服务工作，保证整体项目的顺利实施。</w:t>
      </w:r>
    </w:p>
    <w:p w14:paraId="29C96986">
      <w:pPr>
        <w:wordWrap w:val="0"/>
        <w:topLinePunct/>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注：上述要求以及标注中：</w:t>
      </w:r>
    </w:p>
    <w:p w14:paraId="7AC90825">
      <w:pPr>
        <w:wordWrap w:val="0"/>
        <w:topLinePunct/>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带“★”条款为实质性条款，供应商必须按照采购文件的要求做出实质性响应。</w:t>
      </w:r>
    </w:p>
    <w:p w14:paraId="156C6E4D">
      <w:pPr>
        <w:spacing w:after="156" w:afterLines="50"/>
        <w:ind w:firstLine="480" w:firstLineChars="200"/>
        <w:outlineLvl w:val="1"/>
        <w:rPr>
          <w:rFonts w:hint="eastAsia" w:ascii="仿宋_GB2312" w:hAnsi="仿宋_GB2312" w:eastAsia="仿宋_GB2312" w:cs="仿宋_GB2312"/>
          <w:highlight w:val="none"/>
        </w:rPr>
      </w:pPr>
      <w:bookmarkStart w:id="15" w:name="_Toc32070"/>
      <w:r>
        <w:rPr>
          <w:rFonts w:hint="eastAsia" w:ascii="仿宋_GB2312" w:hAnsi="仿宋_GB2312" w:eastAsia="仿宋_GB2312" w:cs="仿宋_GB2312"/>
          <w:sz w:val="24"/>
          <w:szCs w:val="24"/>
          <w:highlight w:val="none"/>
          <w:lang w:val="zh-CN"/>
        </w:rPr>
        <w:t>带“◆”标注的为可能实质性变动的技术、服务要求以及合同草案条款内容。</w:t>
      </w:r>
      <w:bookmarkEnd w:id="15"/>
    </w:p>
    <w:p w14:paraId="406678AE">
      <w:pPr>
        <w:spacing w:after="156" w:afterLines="50"/>
        <w:ind w:firstLine="3360" w:firstLineChars="1200"/>
        <w:outlineLvl w:val="1"/>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br w:type="page"/>
      </w:r>
      <w:bookmarkStart w:id="16" w:name="_Toc126742731"/>
      <w:r>
        <w:rPr>
          <w:rFonts w:hint="eastAsia" w:ascii="仿宋_GB2312" w:hAnsi="仿宋_GB2312" w:eastAsia="仿宋_GB2312" w:cs="仿宋_GB2312"/>
          <w:sz w:val="28"/>
          <w:szCs w:val="28"/>
          <w:highlight w:val="none"/>
        </w:rPr>
        <w:t>第五章  供应商须知</w:t>
      </w:r>
      <w:bookmarkEnd w:id="12"/>
      <w:bookmarkEnd w:id="16"/>
    </w:p>
    <w:p w14:paraId="73695BE1">
      <w:pPr>
        <w:spacing w:line="360" w:lineRule="auto"/>
        <w:ind w:firstLine="478" w:firstLineChars="171"/>
        <w:rPr>
          <w:rStyle w:val="14"/>
          <w:rFonts w:hint="eastAsia" w:ascii="仿宋_GB2312" w:hAnsi="仿宋_GB2312" w:eastAsia="仿宋_GB2312" w:cs="仿宋_GB2312"/>
          <w:highlight w:val="none"/>
        </w:rPr>
      </w:pPr>
      <w:bookmarkStart w:id="17" w:name="_Toc469327359"/>
      <w:r>
        <w:rPr>
          <w:rStyle w:val="14"/>
          <w:rFonts w:hint="eastAsia" w:ascii="仿宋_GB2312" w:hAnsi="仿宋_GB2312" w:eastAsia="仿宋_GB2312" w:cs="仿宋_GB2312"/>
          <w:highlight w:val="none"/>
        </w:rPr>
        <w:t>1.采购依据</w:t>
      </w:r>
      <w:bookmarkEnd w:id="17"/>
    </w:p>
    <w:p w14:paraId="75E481A2">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1.1《中华人民共和国民法典》。</w:t>
      </w:r>
    </w:p>
    <w:p w14:paraId="4D66DBF4">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1.2其他有关法律、行政法规以及省市规范性文件规定。</w:t>
      </w:r>
    </w:p>
    <w:p w14:paraId="0149AF73">
      <w:pPr>
        <w:spacing w:line="360" w:lineRule="auto"/>
        <w:ind w:firstLine="478" w:firstLineChars="171"/>
        <w:rPr>
          <w:rStyle w:val="14"/>
          <w:rFonts w:hint="eastAsia" w:ascii="仿宋_GB2312" w:hAnsi="仿宋_GB2312" w:eastAsia="仿宋_GB2312" w:cs="仿宋_GB2312"/>
          <w:highlight w:val="none"/>
        </w:rPr>
      </w:pPr>
      <w:bookmarkStart w:id="18" w:name="_Toc469327360"/>
      <w:r>
        <w:rPr>
          <w:rStyle w:val="14"/>
          <w:rFonts w:hint="eastAsia" w:ascii="仿宋_GB2312" w:hAnsi="仿宋_GB2312" w:eastAsia="仿宋_GB2312" w:cs="仿宋_GB2312"/>
          <w:highlight w:val="none"/>
        </w:rPr>
        <w:t>2.合格的供应商</w:t>
      </w:r>
      <w:bookmarkEnd w:id="18"/>
    </w:p>
    <w:p w14:paraId="7862A0F9">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2.1符合本谈判文件规定的资格要求，且按照要求提供相关证明材料。</w:t>
      </w:r>
    </w:p>
    <w:p w14:paraId="77E29A98">
      <w:pPr>
        <w:spacing w:line="360" w:lineRule="auto"/>
        <w:ind w:firstLine="480" w:firstLineChars="200"/>
        <w:rPr>
          <w:rFonts w:hint="eastAsia" w:ascii="仿宋_GB2312" w:hAnsi="仿宋_GB2312" w:eastAsia="仿宋_GB2312" w:cs="仿宋_GB2312"/>
          <w:sz w:val="24"/>
          <w:szCs w:val="24"/>
          <w:highlight w:val="none"/>
        </w:rPr>
      </w:pPr>
      <w:bookmarkStart w:id="19" w:name="_Toc469327361"/>
      <w:r>
        <w:rPr>
          <w:rFonts w:hint="eastAsia" w:ascii="仿宋_GB2312" w:hAnsi="仿宋_GB2312" w:eastAsia="仿宋_GB2312" w:cs="仿宋_GB2312"/>
          <w:sz w:val="24"/>
          <w:szCs w:val="24"/>
          <w:highlight w:val="none"/>
        </w:rPr>
        <w:t>2.2单位负责人为同一人或者存在直接控股、管理关系的不同供应商，不得参加同一合同项下的采购活动。</w:t>
      </w:r>
    </w:p>
    <w:p w14:paraId="7F4330A5">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2.3供应商提供的证明材料内容必须真实可靠。</w:t>
      </w:r>
    </w:p>
    <w:p w14:paraId="314FE461">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符合上述条件的供应商即为合格供应商，具有参与竞争性谈判的资格。</w:t>
      </w:r>
    </w:p>
    <w:p w14:paraId="2E478A1E">
      <w:pPr>
        <w:spacing w:line="360" w:lineRule="auto"/>
        <w:ind w:firstLine="478" w:firstLineChars="171"/>
        <w:rPr>
          <w:rStyle w:val="14"/>
          <w:rFonts w:hint="eastAsia" w:ascii="仿宋_GB2312" w:hAnsi="仿宋_GB2312" w:eastAsia="仿宋_GB2312" w:cs="仿宋_GB2312"/>
          <w:highlight w:val="none"/>
        </w:rPr>
      </w:pPr>
      <w:r>
        <w:rPr>
          <w:rStyle w:val="14"/>
          <w:rFonts w:hint="eastAsia" w:ascii="仿宋_GB2312" w:hAnsi="仿宋_GB2312" w:eastAsia="仿宋_GB2312" w:cs="仿宋_GB2312"/>
          <w:highlight w:val="none"/>
        </w:rPr>
        <w:t>3.保密</w:t>
      </w:r>
      <w:bookmarkEnd w:id="19"/>
    </w:p>
    <w:p w14:paraId="543DB1C7">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参与采购活动的当事人应对谈判文件和响应文件中的商业和技术等秘密保密，违者应对由此造成的后果承担法律责任。</w:t>
      </w:r>
    </w:p>
    <w:p w14:paraId="49E7CAEA">
      <w:pPr>
        <w:spacing w:line="360" w:lineRule="auto"/>
        <w:ind w:firstLine="478" w:firstLineChars="171"/>
        <w:rPr>
          <w:rStyle w:val="14"/>
          <w:rFonts w:hint="eastAsia" w:ascii="仿宋_GB2312" w:hAnsi="仿宋_GB2312" w:eastAsia="仿宋_GB2312" w:cs="仿宋_GB2312"/>
          <w:highlight w:val="none"/>
        </w:rPr>
      </w:pPr>
      <w:bookmarkStart w:id="20" w:name="_Toc469327362"/>
      <w:r>
        <w:rPr>
          <w:rStyle w:val="14"/>
          <w:rFonts w:hint="eastAsia" w:ascii="仿宋_GB2312" w:hAnsi="仿宋_GB2312" w:eastAsia="仿宋_GB2312" w:cs="仿宋_GB2312"/>
          <w:highlight w:val="none"/>
        </w:rPr>
        <w:t>4.语言文字、计量单位、时间单位、响应有效期及参加采购活动费用</w:t>
      </w:r>
      <w:bookmarkEnd w:id="20"/>
    </w:p>
    <w:p w14:paraId="0FB281B1">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4.1语言文字</w:t>
      </w:r>
    </w:p>
    <w:p w14:paraId="5603B98D">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除专用术语外，与采购活动有关的语言均使用简体中文。必要时专用术语应附有中文注释。如供应商提交的支持文件和印刷的文献使用另一种语言，应附有相应内容的中文翻译本，在解释响应文件时以中文翻译本为准。</w:t>
      </w:r>
    </w:p>
    <w:p w14:paraId="03ADB55A">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4.2计量单位</w:t>
      </w:r>
    </w:p>
    <w:p w14:paraId="394871ED">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除谈判文件另有规定外，计量均应采用中华人民共和国法定计量单位。所有报价一律使用人民币，货币单位为“元”。</w:t>
      </w:r>
    </w:p>
    <w:p w14:paraId="63840641">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4.3时间单位</w:t>
      </w:r>
    </w:p>
    <w:p w14:paraId="0F690CCA">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除谈判文件中另有规定外，谈判文件所使用的时间单位“天”、“日”均指日历天，时、分均为北京时间。</w:t>
      </w:r>
    </w:p>
    <w:p w14:paraId="2C0C4DAD">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4.4响应有效期</w:t>
      </w:r>
    </w:p>
    <w:p w14:paraId="223A9179">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4.4.1在供应商须知前附表规定的响应有效期内，响应文件以及其补充、承诺等部分均保持有效。</w:t>
      </w:r>
    </w:p>
    <w:p w14:paraId="1CE832DF">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4.4.2在谈判文件规定的响应文件有效期满之前，如果出现特殊情况，采购人可在响应有效期内要求供应商延长有效期，要求与答复均以书面通知为准并作为谈判文件和响应文件的组成部分。供应商可以拒绝上述要求而其保证金不被没收，拒绝延长响应文件有效期的，其报价失效。同意上述要求的，既不能要求也不允许其修改响应文件，有关退还和没收保证金的规定在响应有效期的延长期内继续有效。</w:t>
      </w:r>
    </w:p>
    <w:p w14:paraId="08270AF5">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4.5参加采购活动费用</w:t>
      </w:r>
    </w:p>
    <w:p w14:paraId="10181882">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供应商应自行承担其准备和参加采购活动发生的所有费用。</w:t>
      </w:r>
    </w:p>
    <w:p w14:paraId="6C243A5B">
      <w:pPr>
        <w:spacing w:line="360" w:lineRule="auto"/>
        <w:ind w:firstLine="478" w:firstLineChars="171"/>
        <w:rPr>
          <w:rStyle w:val="14"/>
          <w:rFonts w:hint="eastAsia" w:ascii="仿宋_GB2312" w:hAnsi="仿宋_GB2312" w:eastAsia="仿宋_GB2312" w:cs="仿宋_GB2312"/>
          <w:highlight w:val="none"/>
        </w:rPr>
      </w:pPr>
      <w:bookmarkStart w:id="21" w:name="_Toc469327363"/>
      <w:r>
        <w:rPr>
          <w:rStyle w:val="14"/>
          <w:rFonts w:hint="eastAsia" w:ascii="仿宋_GB2312" w:hAnsi="仿宋_GB2312" w:eastAsia="仿宋_GB2312" w:cs="仿宋_GB2312"/>
          <w:highlight w:val="none"/>
        </w:rPr>
        <w:t>5.踏勘现场</w:t>
      </w:r>
      <w:bookmarkEnd w:id="21"/>
    </w:p>
    <w:p w14:paraId="1217D19E">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自行踏勘。</w:t>
      </w:r>
    </w:p>
    <w:p w14:paraId="07A8AB01">
      <w:pPr>
        <w:spacing w:line="360" w:lineRule="auto"/>
        <w:ind w:firstLine="478" w:firstLineChars="171"/>
        <w:rPr>
          <w:rStyle w:val="14"/>
          <w:rFonts w:hint="eastAsia" w:ascii="仿宋_GB2312" w:hAnsi="仿宋_GB2312" w:eastAsia="仿宋_GB2312" w:cs="仿宋_GB2312"/>
          <w:highlight w:val="none"/>
        </w:rPr>
      </w:pPr>
      <w:bookmarkStart w:id="22" w:name="_Toc469327364"/>
      <w:r>
        <w:rPr>
          <w:rStyle w:val="14"/>
          <w:rFonts w:hint="eastAsia" w:ascii="仿宋_GB2312" w:hAnsi="仿宋_GB2312" w:eastAsia="仿宋_GB2312" w:cs="仿宋_GB2312"/>
          <w:highlight w:val="none"/>
        </w:rPr>
        <w:t>6.询问</w:t>
      </w:r>
      <w:bookmarkEnd w:id="22"/>
    </w:p>
    <w:p w14:paraId="19DAD1FA">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6.1供应商对采购活动事项有疑问的，可以向采购人提出询问。采购人应当及时作出答复，但答复的内容不得涉及商业秘密。</w:t>
      </w:r>
    </w:p>
    <w:p w14:paraId="2D8B7163">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6.2询问及答复应采取书面形式。</w:t>
      </w:r>
    </w:p>
    <w:p w14:paraId="1DA4D0DD">
      <w:pPr>
        <w:spacing w:line="360" w:lineRule="auto"/>
        <w:ind w:firstLine="478" w:firstLineChars="171"/>
        <w:rPr>
          <w:rStyle w:val="14"/>
          <w:rFonts w:hint="eastAsia" w:ascii="仿宋_GB2312" w:hAnsi="仿宋_GB2312" w:eastAsia="仿宋_GB2312" w:cs="仿宋_GB2312"/>
          <w:highlight w:val="none"/>
        </w:rPr>
      </w:pPr>
      <w:bookmarkStart w:id="23" w:name="_Toc469327365"/>
      <w:r>
        <w:rPr>
          <w:rStyle w:val="14"/>
          <w:rFonts w:hint="eastAsia" w:ascii="仿宋_GB2312" w:hAnsi="仿宋_GB2312" w:eastAsia="仿宋_GB2312" w:cs="仿宋_GB2312"/>
          <w:highlight w:val="none"/>
        </w:rPr>
        <w:t>7.偏离</w:t>
      </w:r>
      <w:bookmarkEnd w:id="23"/>
    </w:p>
    <w:p w14:paraId="33E15B46">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采购人允许响应文件偏离谈判文件某些非实质性要求的，偏离应当符合谈判文件规定的偏离范围和幅度。</w:t>
      </w:r>
    </w:p>
    <w:p w14:paraId="0267B675">
      <w:pPr>
        <w:autoSpaceDE w:val="0"/>
        <w:autoSpaceDN w:val="0"/>
        <w:adjustRightInd w:val="0"/>
        <w:spacing w:line="360" w:lineRule="auto"/>
        <w:ind w:firstLine="420" w:firstLineChars="150"/>
        <w:rPr>
          <w:rFonts w:hint="eastAsia" w:ascii="仿宋_GB2312" w:hAnsi="仿宋_GB2312" w:eastAsia="仿宋_GB2312" w:cs="仿宋_GB2312"/>
          <w:sz w:val="28"/>
          <w:szCs w:val="28"/>
          <w:highlight w:val="none"/>
          <w:lang w:val="zh-CN"/>
        </w:rPr>
      </w:pPr>
      <w:bookmarkStart w:id="24" w:name="_Toc469327368"/>
      <w:r>
        <w:rPr>
          <w:rStyle w:val="14"/>
          <w:rFonts w:hint="eastAsia" w:ascii="仿宋_GB2312" w:hAnsi="仿宋_GB2312" w:eastAsia="仿宋_GB2312" w:cs="仿宋_GB2312"/>
          <w:highlight w:val="none"/>
        </w:rPr>
        <w:t>8.</w:t>
      </w:r>
      <w:bookmarkEnd w:id="24"/>
      <w:r>
        <w:rPr>
          <w:rFonts w:hint="eastAsia" w:ascii="仿宋_GB2312" w:hAnsi="仿宋_GB2312" w:eastAsia="仿宋_GB2312" w:cs="仿宋_GB2312"/>
          <w:sz w:val="28"/>
          <w:szCs w:val="28"/>
          <w:highlight w:val="none"/>
          <w:lang w:val="zh-CN"/>
        </w:rPr>
        <w:t>谈判文件的构成</w:t>
      </w:r>
    </w:p>
    <w:p w14:paraId="1632FA46">
      <w:pPr>
        <w:autoSpaceDE w:val="0"/>
        <w:autoSpaceDN w:val="0"/>
        <w:adjustRightInd w:val="0"/>
        <w:spacing w:line="360" w:lineRule="auto"/>
        <w:ind w:firstLine="482"/>
        <w:rPr>
          <w:rFonts w:hint="eastAsia" w:ascii="仿宋_GB2312" w:hAnsi="仿宋_GB2312" w:eastAsia="仿宋_GB2312" w:cs="仿宋_GB2312"/>
          <w:sz w:val="24"/>
          <w:highlight w:val="none"/>
          <w:lang w:val="zh-CN"/>
        </w:rPr>
      </w:pPr>
      <w:r>
        <w:rPr>
          <w:rFonts w:hint="eastAsia" w:ascii="仿宋_GB2312" w:hAnsi="仿宋_GB2312" w:eastAsia="仿宋_GB2312" w:cs="仿宋_GB2312"/>
          <w:sz w:val="24"/>
          <w:highlight w:val="none"/>
          <w:lang w:val="zh-CN"/>
        </w:rPr>
        <w:t>谈判文件是用以阐明项目需求、采购程序和合同格式的规范性文件。</w:t>
      </w:r>
    </w:p>
    <w:p w14:paraId="2562A4BF">
      <w:pPr>
        <w:autoSpaceDE w:val="0"/>
        <w:autoSpaceDN w:val="0"/>
        <w:adjustRightInd w:val="0"/>
        <w:spacing w:line="360" w:lineRule="auto"/>
        <w:ind w:firstLine="482"/>
        <w:rPr>
          <w:rFonts w:hint="eastAsia" w:ascii="仿宋_GB2312" w:hAnsi="仿宋_GB2312" w:eastAsia="仿宋_GB2312" w:cs="仿宋_GB2312"/>
          <w:sz w:val="24"/>
          <w:highlight w:val="none"/>
          <w:lang w:val="zh-CN"/>
        </w:rPr>
      </w:pPr>
      <w:r>
        <w:rPr>
          <w:rFonts w:hint="eastAsia" w:ascii="仿宋_GB2312" w:hAnsi="仿宋_GB2312" w:eastAsia="仿宋_GB2312" w:cs="仿宋_GB2312"/>
          <w:sz w:val="24"/>
          <w:highlight w:val="none"/>
        </w:rPr>
        <w:t>8</w:t>
      </w:r>
      <w:r>
        <w:rPr>
          <w:rFonts w:hint="eastAsia" w:ascii="仿宋_GB2312" w:hAnsi="仿宋_GB2312" w:eastAsia="仿宋_GB2312" w:cs="仿宋_GB2312"/>
          <w:sz w:val="24"/>
          <w:highlight w:val="none"/>
          <w:lang w:val="zh-CN"/>
        </w:rPr>
        <w:t>.1谈判文件主要由以下部分组成：</w:t>
      </w:r>
    </w:p>
    <w:p w14:paraId="1AC0F922">
      <w:pPr>
        <w:autoSpaceDE w:val="0"/>
        <w:autoSpaceDN w:val="0"/>
        <w:adjustRightInd w:val="0"/>
        <w:spacing w:line="360" w:lineRule="auto"/>
        <w:ind w:firstLine="480" w:firstLineChars="200"/>
        <w:rPr>
          <w:rFonts w:hint="eastAsia" w:ascii="仿宋_GB2312" w:hAnsi="仿宋_GB2312" w:eastAsia="仿宋_GB2312" w:cs="仿宋_GB2312"/>
          <w:sz w:val="24"/>
          <w:highlight w:val="none"/>
          <w:lang w:val="zh-CN"/>
        </w:rPr>
      </w:pPr>
      <w:r>
        <w:rPr>
          <w:rFonts w:hint="eastAsia" w:ascii="仿宋_GB2312" w:hAnsi="仿宋_GB2312" w:eastAsia="仿宋_GB2312" w:cs="仿宋_GB2312"/>
          <w:sz w:val="24"/>
          <w:highlight w:val="none"/>
        </w:rPr>
        <w:t>8.</w:t>
      </w:r>
      <w:r>
        <w:rPr>
          <w:rFonts w:hint="eastAsia" w:ascii="仿宋_GB2312" w:hAnsi="仿宋_GB2312" w:eastAsia="仿宋_GB2312" w:cs="仿宋_GB2312"/>
          <w:sz w:val="24"/>
          <w:highlight w:val="none"/>
          <w:lang w:val="zh-CN"/>
        </w:rPr>
        <w:t>1.1竞争性谈判邀请书。</w:t>
      </w:r>
    </w:p>
    <w:p w14:paraId="16324F48">
      <w:pPr>
        <w:autoSpaceDE w:val="0"/>
        <w:autoSpaceDN w:val="0"/>
        <w:adjustRightInd w:val="0"/>
        <w:spacing w:line="360" w:lineRule="auto"/>
        <w:ind w:firstLine="482"/>
        <w:rPr>
          <w:rFonts w:hint="eastAsia" w:ascii="仿宋_GB2312" w:hAnsi="仿宋_GB2312" w:eastAsia="仿宋_GB2312" w:cs="仿宋_GB2312"/>
          <w:sz w:val="24"/>
          <w:highlight w:val="none"/>
          <w:lang w:val="zh-CN"/>
        </w:rPr>
      </w:pPr>
      <w:r>
        <w:rPr>
          <w:rFonts w:hint="eastAsia" w:ascii="仿宋_GB2312" w:hAnsi="仿宋_GB2312" w:eastAsia="仿宋_GB2312" w:cs="仿宋_GB2312"/>
          <w:sz w:val="24"/>
          <w:highlight w:val="none"/>
        </w:rPr>
        <w:t>8.</w:t>
      </w:r>
      <w:r>
        <w:rPr>
          <w:rFonts w:hint="eastAsia" w:ascii="仿宋_GB2312" w:hAnsi="仿宋_GB2312" w:eastAsia="仿宋_GB2312" w:cs="仿宋_GB2312"/>
          <w:sz w:val="24"/>
          <w:highlight w:val="none"/>
          <w:lang w:val="zh-CN"/>
        </w:rPr>
        <w:t>1.2供应商须知前附表。</w:t>
      </w:r>
    </w:p>
    <w:p w14:paraId="150AA521">
      <w:pPr>
        <w:autoSpaceDE w:val="0"/>
        <w:autoSpaceDN w:val="0"/>
        <w:adjustRightInd w:val="0"/>
        <w:spacing w:line="360" w:lineRule="auto"/>
        <w:ind w:firstLine="482"/>
        <w:rPr>
          <w:rFonts w:hint="eastAsia" w:ascii="仿宋_GB2312" w:hAnsi="仿宋_GB2312" w:eastAsia="仿宋_GB2312" w:cs="仿宋_GB2312"/>
          <w:sz w:val="24"/>
          <w:highlight w:val="none"/>
          <w:lang w:val="zh-CN"/>
        </w:rPr>
      </w:pPr>
      <w:r>
        <w:rPr>
          <w:rFonts w:hint="eastAsia" w:ascii="仿宋_GB2312" w:hAnsi="仿宋_GB2312" w:eastAsia="仿宋_GB2312" w:cs="仿宋_GB2312"/>
          <w:sz w:val="24"/>
          <w:highlight w:val="none"/>
        </w:rPr>
        <w:t>8.</w:t>
      </w:r>
      <w:r>
        <w:rPr>
          <w:rFonts w:hint="eastAsia" w:ascii="仿宋_GB2312" w:hAnsi="仿宋_GB2312" w:eastAsia="仿宋_GB2312" w:cs="仿宋_GB2312"/>
          <w:sz w:val="24"/>
          <w:highlight w:val="none"/>
          <w:lang w:val="zh-CN"/>
        </w:rPr>
        <w:t>1.3供应商应当提交的资格、资信证明文件。</w:t>
      </w:r>
    </w:p>
    <w:p w14:paraId="39F34687">
      <w:pPr>
        <w:autoSpaceDE w:val="0"/>
        <w:autoSpaceDN w:val="0"/>
        <w:adjustRightInd w:val="0"/>
        <w:spacing w:line="360" w:lineRule="auto"/>
        <w:ind w:firstLine="48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highlight w:val="none"/>
        </w:rPr>
        <w:t>8.</w:t>
      </w:r>
      <w:r>
        <w:rPr>
          <w:rFonts w:hint="eastAsia" w:ascii="仿宋_GB2312" w:hAnsi="仿宋_GB2312" w:eastAsia="仿宋_GB2312" w:cs="仿宋_GB2312"/>
          <w:sz w:val="24"/>
          <w:highlight w:val="none"/>
          <w:lang w:val="zh-CN"/>
        </w:rPr>
        <w:t>1.4</w:t>
      </w:r>
      <w:r>
        <w:rPr>
          <w:rFonts w:hint="eastAsia" w:ascii="仿宋_GB2312" w:hAnsi="仿宋_GB2312" w:eastAsia="仿宋_GB2312" w:cs="仿宋_GB2312"/>
          <w:sz w:val="24"/>
          <w:szCs w:val="24"/>
          <w:highlight w:val="none"/>
        </w:rPr>
        <w:t>采购需求。</w:t>
      </w:r>
    </w:p>
    <w:p w14:paraId="51D9A558">
      <w:pPr>
        <w:autoSpaceDE w:val="0"/>
        <w:autoSpaceDN w:val="0"/>
        <w:adjustRightInd w:val="0"/>
        <w:spacing w:line="360" w:lineRule="auto"/>
        <w:ind w:firstLine="480"/>
        <w:rPr>
          <w:rFonts w:hint="eastAsia" w:ascii="仿宋_GB2312" w:hAnsi="仿宋_GB2312" w:eastAsia="仿宋_GB2312" w:cs="仿宋_GB2312"/>
          <w:sz w:val="24"/>
          <w:highlight w:val="none"/>
          <w:lang w:val="zh-CN"/>
        </w:rPr>
      </w:pPr>
      <w:r>
        <w:rPr>
          <w:rFonts w:hint="eastAsia" w:ascii="仿宋_GB2312" w:hAnsi="仿宋_GB2312" w:eastAsia="仿宋_GB2312" w:cs="仿宋_GB2312"/>
          <w:sz w:val="24"/>
          <w:highlight w:val="none"/>
        </w:rPr>
        <w:t>8.</w:t>
      </w:r>
      <w:r>
        <w:rPr>
          <w:rFonts w:hint="eastAsia" w:ascii="仿宋_GB2312" w:hAnsi="仿宋_GB2312" w:eastAsia="仿宋_GB2312" w:cs="仿宋_GB2312"/>
          <w:sz w:val="24"/>
          <w:highlight w:val="none"/>
          <w:lang w:val="zh-CN"/>
        </w:rPr>
        <w:t>1.5</w:t>
      </w:r>
      <w:r>
        <w:rPr>
          <w:rFonts w:hint="eastAsia" w:ascii="仿宋_GB2312" w:hAnsi="仿宋_GB2312" w:eastAsia="仿宋_GB2312" w:cs="仿宋_GB2312"/>
          <w:sz w:val="24"/>
          <w:szCs w:val="24"/>
          <w:highlight w:val="none"/>
        </w:rPr>
        <w:t>供应商须知。</w:t>
      </w:r>
    </w:p>
    <w:p w14:paraId="49B5C85B">
      <w:pPr>
        <w:autoSpaceDE w:val="0"/>
        <w:autoSpaceDN w:val="0"/>
        <w:adjustRightInd w:val="0"/>
        <w:spacing w:line="360" w:lineRule="auto"/>
        <w:ind w:firstLine="482"/>
        <w:rPr>
          <w:rFonts w:hint="eastAsia" w:ascii="仿宋_GB2312" w:hAnsi="仿宋_GB2312" w:eastAsia="仿宋_GB2312" w:cs="仿宋_GB2312"/>
          <w:sz w:val="24"/>
          <w:highlight w:val="none"/>
          <w:lang w:val="zh-CN"/>
        </w:rPr>
      </w:pPr>
      <w:r>
        <w:rPr>
          <w:rFonts w:hint="eastAsia" w:ascii="仿宋_GB2312" w:hAnsi="仿宋_GB2312" w:eastAsia="仿宋_GB2312" w:cs="仿宋_GB2312"/>
          <w:sz w:val="24"/>
          <w:highlight w:val="none"/>
        </w:rPr>
        <w:t>8.</w:t>
      </w:r>
      <w:r>
        <w:rPr>
          <w:rFonts w:hint="eastAsia" w:ascii="仿宋_GB2312" w:hAnsi="仿宋_GB2312" w:eastAsia="仿宋_GB2312" w:cs="仿宋_GB2312"/>
          <w:sz w:val="24"/>
          <w:highlight w:val="none"/>
          <w:lang w:val="zh-CN"/>
        </w:rPr>
        <w:t>1.6开标、谈判、成交以及废标。</w:t>
      </w:r>
    </w:p>
    <w:p w14:paraId="09A548FE">
      <w:pPr>
        <w:autoSpaceDE w:val="0"/>
        <w:autoSpaceDN w:val="0"/>
        <w:adjustRightInd w:val="0"/>
        <w:spacing w:line="360" w:lineRule="auto"/>
        <w:ind w:firstLine="482"/>
        <w:rPr>
          <w:rFonts w:hint="eastAsia" w:ascii="仿宋_GB2312" w:hAnsi="仿宋_GB2312" w:eastAsia="仿宋_GB2312" w:cs="仿宋_GB2312"/>
          <w:sz w:val="24"/>
          <w:highlight w:val="none"/>
          <w:lang w:val="zh-CN"/>
        </w:rPr>
      </w:pPr>
      <w:r>
        <w:rPr>
          <w:rFonts w:hint="eastAsia" w:ascii="仿宋_GB2312" w:hAnsi="仿宋_GB2312" w:eastAsia="仿宋_GB2312" w:cs="仿宋_GB2312"/>
          <w:sz w:val="24"/>
          <w:highlight w:val="none"/>
        </w:rPr>
        <w:t>8.</w:t>
      </w:r>
      <w:r>
        <w:rPr>
          <w:rFonts w:hint="eastAsia" w:ascii="仿宋_GB2312" w:hAnsi="仿宋_GB2312" w:eastAsia="仿宋_GB2312" w:cs="仿宋_GB2312"/>
          <w:sz w:val="24"/>
          <w:highlight w:val="none"/>
          <w:lang w:val="zh-CN"/>
        </w:rPr>
        <w:t>1.7签订合同、合同主要条款。</w:t>
      </w:r>
    </w:p>
    <w:p w14:paraId="25D94C21">
      <w:pPr>
        <w:autoSpaceDE w:val="0"/>
        <w:autoSpaceDN w:val="0"/>
        <w:adjustRightInd w:val="0"/>
        <w:spacing w:line="360" w:lineRule="auto"/>
        <w:ind w:firstLine="482"/>
        <w:rPr>
          <w:rFonts w:hint="eastAsia" w:ascii="仿宋_GB2312" w:hAnsi="仿宋_GB2312" w:eastAsia="仿宋_GB2312" w:cs="仿宋_GB2312"/>
          <w:sz w:val="24"/>
          <w:highlight w:val="none"/>
          <w:lang w:val="zh-CN"/>
        </w:rPr>
      </w:pPr>
      <w:r>
        <w:rPr>
          <w:rFonts w:hint="eastAsia" w:ascii="仿宋_GB2312" w:hAnsi="仿宋_GB2312" w:eastAsia="仿宋_GB2312" w:cs="仿宋_GB2312"/>
          <w:sz w:val="24"/>
          <w:szCs w:val="24"/>
          <w:highlight w:val="none"/>
        </w:rPr>
        <w:t>8.</w:t>
      </w:r>
      <w:r>
        <w:rPr>
          <w:rFonts w:hint="eastAsia" w:ascii="仿宋_GB2312" w:hAnsi="仿宋_GB2312" w:eastAsia="仿宋_GB2312" w:cs="仿宋_GB2312"/>
          <w:sz w:val="24"/>
          <w:highlight w:val="none"/>
          <w:lang w:val="zh-CN"/>
        </w:rPr>
        <w:t>1.</w:t>
      </w:r>
      <w:r>
        <w:rPr>
          <w:rFonts w:hint="eastAsia" w:ascii="仿宋_GB2312" w:hAnsi="仿宋_GB2312" w:eastAsia="仿宋_GB2312" w:cs="仿宋_GB2312"/>
          <w:sz w:val="24"/>
          <w:szCs w:val="24"/>
          <w:highlight w:val="none"/>
        </w:rPr>
        <w:t>8响应文件格式。</w:t>
      </w:r>
    </w:p>
    <w:p w14:paraId="7C787297">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8.1.9根据本章第8.2款对谈判文件所作的澄清和修改，构成谈判文件的组成部分。</w:t>
      </w:r>
    </w:p>
    <w:p w14:paraId="0C6808BC">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8.1.10除非有特殊要求，谈判文件不单独提供项目所在地的自然环境、气候条件、公用设施等情况，供应商被视为熟悉上述与履行合同有关的一切情况。</w:t>
      </w:r>
    </w:p>
    <w:p w14:paraId="1B556F98">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8.2谈判文件的澄清和修改</w:t>
      </w:r>
    </w:p>
    <w:p w14:paraId="1C65935F">
      <w:pPr>
        <w:spacing w:line="360" w:lineRule="auto"/>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8.2.1采购人对已发出的谈判文件进行必要澄清或者修改的，</w:t>
      </w:r>
      <w:r>
        <w:rPr>
          <w:rFonts w:hint="eastAsia" w:ascii="仿宋_GB2312" w:hAnsi="仿宋_GB2312" w:eastAsia="仿宋_GB2312" w:cs="仿宋_GB2312"/>
          <w:color w:val="000000"/>
          <w:sz w:val="24"/>
          <w:highlight w:val="none"/>
          <w:lang w:val="zh-CN"/>
        </w:rPr>
        <w:t>应当在谈判文件要求递交首次响应文件截止之日</w:t>
      </w:r>
      <w:r>
        <w:rPr>
          <w:rFonts w:hint="eastAsia" w:ascii="仿宋_GB2312" w:hAnsi="仿宋_GB2312" w:eastAsia="仿宋_GB2312" w:cs="仿宋_GB2312"/>
          <w:color w:val="000000"/>
          <w:sz w:val="24"/>
          <w:highlight w:val="none"/>
        </w:rPr>
        <w:t>3</w:t>
      </w:r>
      <w:r>
        <w:rPr>
          <w:rFonts w:hint="eastAsia" w:ascii="仿宋_GB2312" w:hAnsi="仿宋_GB2312" w:eastAsia="仿宋_GB2312" w:cs="仿宋_GB2312"/>
          <w:color w:val="000000"/>
          <w:sz w:val="24"/>
          <w:highlight w:val="none"/>
          <w:lang w:val="zh-CN"/>
        </w:rPr>
        <w:t>日前</w:t>
      </w:r>
      <w:r>
        <w:rPr>
          <w:rFonts w:hint="eastAsia" w:ascii="仿宋_GB2312" w:hAnsi="仿宋_GB2312" w:eastAsia="仿宋_GB2312" w:cs="仿宋_GB2312"/>
          <w:color w:val="000000"/>
          <w:sz w:val="24"/>
          <w:szCs w:val="24"/>
          <w:highlight w:val="none"/>
        </w:rPr>
        <w:t>发布澄清文件，通知所有谈判文件收受人，但不指明澄清问题的来源。不足3</w:t>
      </w:r>
      <w:r>
        <w:rPr>
          <w:rFonts w:hint="eastAsia" w:ascii="仿宋_GB2312" w:hAnsi="仿宋_GB2312" w:eastAsia="仿宋_GB2312" w:cs="仿宋_GB2312"/>
          <w:color w:val="000000"/>
          <w:sz w:val="24"/>
          <w:highlight w:val="none"/>
          <w:lang w:val="zh-CN"/>
        </w:rPr>
        <w:t>日的且澄清或修改影响响应文件编制的，采购人应当顺延递交首次响应文件截止之日</w:t>
      </w:r>
      <w:r>
        <w:rPr>
          <w:rFonts w:hint="eastAsia" w:ascii="仿宋_GB2312" w:hAnsi="仿宋_GB2312" w:eastAsia="仿宋_GB2312" w:cs="仿宋_GB2312"/>
          <w:color w:val="000000"/>
          <w:sz w:val="24"/>
          <w:szCs w:val="24"/>
          <w:highlight w:val="none"/>
        </w:rPr>
        <w:t>，具体时间应在澄清文件中予以明确，知会所有谈判文件收受人</w:t>
      </w:r>
      <w:r>
        <w:rPr>
          <w:rFonts w:hint="eastAsia" w:ascii="仿宋_GB2312" w:hAnsi="仿宋_GB2312" w:eastAsia="仿宋_GB2312" w:cs="仿宋_GB2312"/>
          <w:color w:val="000000"/>
          <w:sz w:val="24"/>
          <w:highlight w:val="none"/>
          <w:lang w:val="zh-CN"/>
        </w:rPr>
        <w:t>。</w:t>
      </w:r>
    </w:p>
    <w:p w14:paraId="6144FFDF">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8.2.2供应商应仔细检查谈判文件是否齐全。如有残缺、遗漏或者不清楚的，应在供应商须知前附表规定的时间前，以加盖供应商单位公章的书面文件提出，采用信函、传真或者直接送达的形式通知采购人，同时将电子版文件以电子邮件的形式发送至采购人的电子信箱，否则，由此引起的损失由供应商自负。同时，供应商有义务对谈判文件的准确性进行复核，如发现有任何错误（打印的错误、逻辑的错误）或者前后矛盾的，应在规定提交答疑的时间内提交给采购人，否则，供应商应无条件接受谈判文件所有条款。</w:t>
      </w:r>
    </w:p>
    <w:p w14:paraId="3DDC2905">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8.2.3谈判文件的澄清或者修改文件，方可作为谈判文件组成部分并具有法律效力，任何口头答复、通知无效。谈判文件的澄清或者修改在同一内容的表述上不一致时，以最后发布的为准。</w:t>
      </w:r>
    </w:p>
    <w:p w14:paraId="6176C2D0">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8.2.4供应商认为谈判文件存在歧视性条款或者不合理要求等需要澄清的，应在规定时间内一次性全部提出。在规定时间未一次性提出或者对已澄清的条款再提异议者，即视为同意和接受相关条款。</w:t>
      </w:r>
    </w:p>
    <w:p w14:paraId="518FB63E">
      <w:pPr>
        <w:spacing w:line="360" w:lineRule="auto"/>
        <w:ind w:firstLine="478" w:firstLineChars="171"/>
        <w:rPr>
          <w:rStyle w:val="14"/>
          <w:rFonts w:hint="eastAsia" w:ascii="仿宋_GB2312" w:hAnsi="仿宋_GB2312" w:eastAsia="仿宋_GB2312" w:cs="仿宋_GB2312"/>
          <w:highlight w:val="none"/>
        </w:rPr>
      </w:pPr>
      <w:bookmarkStart w:id="25" w:name="_Toc469327369"/>
      <w:r>
        <w:rPr>
          <w:rStyle w:val="14"/>
          <w:rFonts w:hint="eastAsia" w:ascii="仿宋_GB2312" w:hAnsi="仿宋_GB2312" w:eastAsia="仿宋_GB2312" w:cs="仿宋_GB2312"/>
          <w:highlight w:val="none"/>
        </w:rPr>
        <w:t>9.响应文件的组成</w:t>
      </w:r>
      <w:bookmarkEnd w:id="25"/>
    </w:p>
    <w:p w14:paraId="492BD04E">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9.1供应商应按照谈判文件的要求以及格式编制响应文件，并保证其真实性、准确性以及完整性，并按照谈判文件要求提交全部资料并做出实质性响应。</w:t>
      </w:r>
    </w:p>
    <w:p w14:paraId="6D46E151">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9.2响应文件由商务部分、技术部分以及资格、资信等证明文件组成。</w:t>
      </w:r>
    </w:p>
    <w:p w14:paraId="09B566B8">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9.3商务文件</w:t>
      </w:r>
    </w:p>
    <w:p w14:paraId="7345B558">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9.3.1报价函。</w:t>
      </w:r>
    </w:p>
    <w:p w14:paraId="6560F311">
      <w:pPr>
        <w:spacing w:line="360" w:lineRule="auto"/>
        <w:ind w:firstLine="480" w:firstLineChars="200"/>
        <w:rPr>
          <w:rFonts w:hint="eastAsia" w:ascii="仿宋_GB2312" w:hAnsi="仿宋_GB2312" w:eastAsia="仿宋_GB2312" w:cs="仿宋_GB2312"/>
          <w:sz w:val="24"/>
          <w:szCs w:val="24"/>
          <w:highlight w:val="none"/>
        </w:rPr>
      </w:pPr>
      <w:r>
        <w:rPr>
          <w:rStyle w:val="15"/>
          <w:rFonts w:hint="eastAsia" w:ascii="仿宋_GB2312" w:hAnsi="仿宋_GB2312" w:eastAsia="仿宋_GB2312" w:cs="仿宋_GB2312"/>
          <w:sz w:val="24"/>
          <w:szCs w:val="24"/>
          <w:highlight w:val="none"/>
        </w:rPr>
        <w:t>9.3.2无行贿犯罪等重大违法记录的书面声明。</w:t>
      </w:r>
    </w:p>
    <w:p w14:paraId="50928754">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9.3.3法定代表人授权委托书。</w:t>
      </w:r>
    </w:p>
    <w:p w14:paraId="4F37D701">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9.3.4营业执照。</w:t>
      </w:r>
    </w:p>
    <w:p w14:paraId="07208F43">
      <w:pPr>
        <w:spacing w:line="360" w:lineRule="auto"/>
        <w:ind w:firstLine="480" w:firstLineChars="200"/>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rPr>
        <w:t>9.3.5响应报价</w:t>
      </w:r>
      <w:r>
        <w:rPr>
          <w:rFonts w:hint="eastAsia" w:ascii="仿宋_GB2312" w:hAnsi="仿宋_GB2312" w:eastAsia="仿宋_GB2312" w:cs="仿宋_GB2312"/>
          <w:sz w:val="24"/>
          <w:szCs w:val="24"/>
          <w:highlight w:val="none"/>
          <w:lang w:val="zh-CN"/>
        </w:rPr>
        <w:t>。</w:t>
      </w:r>
    </w:p>
    <w:p w14:paraId="4A6432D6">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9.3.6供应商同类项目实施情况一览表。</w:t>
      </w:r>
    </w:p>
    <w:p w14:paraId="606DB834">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9.3.7资信以及商务响应表（格式自拟）。</w:t>
      </w:r>
    </w:p>
    <w:p w14:paraId="37BE8261">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9.3.8谈判文件要求和供应商认为应介绍或者提交的资料和文件。</w:t>
      </w:r>
    </w:p>
    <w:p w14:paraId="0AD0EC7E">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9.4技术文件</w:t>
      </w:r>
    </w:p>
    <w:p w14:paraId="2E024B91">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采购文件要求和供应商认为应介绍或者提交的资料和文件。</w:t>
      </w:r>
    </w:p>
    <w:p w14:paraId="3BB2A4CF">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9.5资格、资信等证明文件</w:t>
      </w:r>
    </w:p>
    <w:p w14:paraId="40688D5F">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资格、资信等证明文件详见谈判文件第三章“供应商应当提交的资格、资信等证明文件”的要求。</w:t>
      </w:r>
    </w:p>
    <w:p w14:paraId="24917AC6">
      <w:pPr>
        <w:rPr>
          <w:rFonts w:hint="eastAsia" w:ascii="仿宋_GB2312" w:hAnsi="仿宋_GB2312" w:eastAsia="仿宋_GB2312" w:cs="仿宋_GB2312"/>
          <w:highlight w:val="none"/>
        </w:rPr>
        <w:sectPr>
          <w:headerReference r:id="rId7" w:type="default"/>
          <w:footerReference r:id="rId8" w:type="default"/>
          <w:pgSz w:w="11906" w:h="16838"/>
          <w:pgMar w:top="1418" w:right="1418" w:bottom="1418" w:left="1418" w:header="851" w:footer="992" w:gutter="0"/>
          <w:cols w:space="720" w:num="1"/>
          <w:docGrid w:type="lines" w:linePitch="312" w:charSpace="0"/>
        </w:sectPr>
      </w:pPr>
    </w:p>
    <w:p w14:paraId="3CDD167B">
      <w:pPr>
        <w:spacing w:after="156" w:afterLines="50"/>
        <w:jc w:val="center"/>
        <w:outlineLvl w:val="1"/>
        <w:rPr>
          <w:rFonts w:hint="eastAsia" w:ascii="仿宋_GB2312" w:hAnsi="仿宋_GB2312" w:eastAsia="仿宋_GB2312" w:cs="仿宋_GB2312"/>
          <w:sz w:val="28"/>
          <w:szCs w:val="28"/>
          <w:highlight w:val="none"/>
        </w:rPr>
      </w:pPr>
      <w:bookmarkStart w:id="26" w:name="_Toc469327379"/>
      <w:bookmarkStart w:id="27" w:name="_Toc126742732"/>
      <w:r>
        <w:rPr>
          <w:rFonts w:hint="eastAsia" w:ascii="仿宋_GB2312" w:hAnsi="仿宋_GB2312" w:eastAsia="仿宋_GB2312" w:cs="仿宋_GB2312"/>
          <w:sz w:val="28"/>
          <w:szCs w:val="28"/>
          <w:highlight w:val="none"/>
        </w:rPr>
        <w:t xml:space="preserve">第六章  </w:t>
      </w:r>
      <w:bookmarkEnd w:id="26"/>
      <w:r>
        <w:rPr>
          <w:rFonts w:hint="eastAsia" w:ascii="仿宋_GB2312" w:hAnsi="仿宋_GB2312" w:eastAsia="仿宋_GB2312" w:cs="仿宋_GB2312"/>
          <w:sz w:val="28"/>
          <w:szCs w:val="28"/>
          <w:highlight w:val="none"/>
        </w:rPr>
        <w:t>开标、谈判、成交及废标</w:t>
      </w:r>
      <w:bookmarkEnd w:id="27"/>
    </w:p>
    <w:p w14:paraId="0924A2C9">
      <w:pPr>
        <w:autoSpaceDE w:val="0"/>
        <w:autoSpaceDN w:val="0"/>
        <w:adjustRightInd w:val="0"/>
        <w:spacing w:line="360" w:lineRule="auto"/>
        <w:rPr>
          <w:rFonts w:hint="eastAsia" w:ascii="仿宋_GB2312" w:hAnsi="仿宋_GB2312" w:eastAsia="仿宋_GB2312" w:cs="仿宋_GB2312"/>
          <w:sz w:val="24"/>
          <w:highlight w:val="none"/>
          <w:lang w:val="zh-CN"/>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zh-CN"/>
        </w:rPr>
        <w:t>.开标</w:t>
      </w:r>
    </w:p>
    <w:p w14:paraId="242B8536">
      <w:pPr>
        <w:autoSpaceDE w:val="0"/>
        <w:autoSpaceDN w:val="0"/>
        <w:adjustRightInd w:val="0"/>
        <w:spacing w:line="360" w:lineRule="auto"/>
        <w:ind w:firstLine="410"/>
        <w:rPr>
          <w:rFonts w:hint="eastAsia" w:ascii="仿宋_GB2312" w:hAnsi="仿宋_GB2312" w:eastAsia="仿宋_GB2312" w:cs="仿宋_GB2312"/>
          <w:sz w:val="24"/>
          <w:highlight w:val="none"/>
          <w:lang w:val="zh-CN"/>
        </w:rPr>
      </w:pPr>
      <w:r>
        <w:rPr>
          <w:rFonts w:hint="eastAsia" w:ascii="仿宋_GB2312" w:hAnsi="仿宋_GB2312" w:eastAsia="仿宋_GB2312" w:cs="仿宋_GB2312"/>
          <w:sz w:val="24"/>
          <w:highlight w:val="none"/>
        </w:rPr>
        <w:t>1</w:t>
      </w:r>
      <w:r>
        <w:rPr>
          <w:rFonts w:hint="eastAsia" w:ascii="仿宋_GB2312" w:hAnsi="仿宋_GB2312" w:eastAsia="仿宋_GB2312" w:cs="仿宋_GB2312"/>
          <w:sz w:val="24"/>
          <w:highlight w:val="none"/>
          <w:lang w:val="zh-CN"/>
        </w:rPr>
        <w:t>.1开标应当在谈判文件确定的提交响应文件截止时间的同一时间公开进行。采购人按照本谈判文件规定的时间和地点组织召开开标会议。</w:t>
      </w:r>
    </w:p>
    <w:p w14:paraId="14AAA745">
      <w:pPr>
        <w:autoSpaceDE w:val="0"/>
        <w:autoSpaceDN w:val="0"/>
        <w:adjustRightInd w:val="0"/>
        <w:spacing w:line="360" w:lineRule="auto"/>
        <w:ind w:firstLine="410"/>
        <w:rPr>
          <w:rFonts w:hint="eastAsia" w:ascii="仿宋_GB2312" w:hAnsi="仿宋_GB2312" w:eastAsia="仿宋_GB2312" w:cs="仿宋_GB2312"/>
          <w:sz w:val="24"/>
          <w:highlight w:val="none"/>
          <w:lang w:val="zh-CN"/>
        </w:rPr>
      </w:pPr>
      <w:r>
        <w:rPr>
          <w:rFonts w:hint="eastAsia" w:ascii="仿宋_GB2312" w:hAnsi="仿宋_GB2312" w:eastAsia="仿宋_GB2312" w:cs="仿宋_GB2312"/>
          <w:b/>
          <w:sz w:val="24"/>
          <w:highlight w:val="none"/>
          <w:lang w:val="zh-CN"/>
        </w:rPr>
        <w:t>届时请供应商法定代表人或者被授权代表参加，参加开标会的代表必须签名报到，法定代表人出示</w:t>
      </w:r>
      <w:r>
        <w:rPr>
          <w:rFonts w:hint="eastAsia" w:ascii="仿宋_GB2312" w:hAnsi="仿宋_GB2312" w:eastAsia="仿宋_GB2312" w:cs="仿宋_GB2312"/>
          <w:b/>
          <w:bCs/>
          <w:sz w:val="24"/>
          <w:szCs w:val="24"/>
          <w:highlight w:val="none"/>
          <w:lang w:val="zh-CN"/>
        </w:rPr>
        <w:t>身份证明原件和本人身份证原件</w:t>
      </w:r>
      <w:r>
        <w:rPr>
          <w:rFonts w:hint="eastAsia" w:ascii="仿宋_GB2312" w:hAnsi="仿宋_GB2312" w:eastAsia="仿宋_GB2312" w:cs="仿宋_GB2312"/>
          <w:b/>
          <w:sz w:val="24"/>
          <w:highlight w:val="none"/>
          <w:lang w:val="zh-CN"/>
        </w:rPr>
        <w:t>、被授权代表出示授权委托书原件和本人身份证原件以证明其出席。否则，对递交的响应文件将不予接收。</w:t>
      </w:r>
    </w:p>
    <w:p w14:paraId="66539071">
      <w:pPr>
        <w:tabs>
          <w:tab w:val="left" w:pos="0"/>
        </w:tabs>
        <w:autoSpaceDE w:val="0"/>
        <w:autoSpaceDN w:val="0"/>
        <w:adjustRightInd w:val="0"/>
        <w:spacing w:line="360" w:lineRule="auto"/>
        <w:ind w:firstLine="482"/>
        <w:rPr>
          <w:rFonts w:hint="eastAsia" w:ascii="仿宋_GB2312" w:hAnsi="仿宋_GB2312" w:eastAsia="仿宋_GB2312" w:cs="仿宋_GB2312"/>
          <w:sz w:val="24"/>
          <w:highlight w:val="none"/>
          <w:lang w:val="zh-CN"/>
        </w:rPr>
      </w:pPr>
      <w:r>
        <w:rPr>
          <w:rFonts w:hint="eastAsia" w:ascii="仿宋_GB2312" w:hAnsi="仿宋_GB2312" w:eastAsia="仿宋_GB2312" w:cs="仿宋_GB2312"/>
          <w:sz w:val="24"/>
          <w:highlight w:val="none"/>
        </w:rPr>
        <w:t>1</w:t>
      </w:r>
      <w:r>
        <w:rPr>
          <w:rFonts w:hint="eastAsia" w:ascii="仿宋_GB2312" w:hAnsi="仿宋_GB2312" w:eastAsia="仿宋_GB2312" w:cs="仿宋_GB2312"/>
          <w:sz w:val="24"/>
          <w:highlight w:val="none"/>
          <w:lang w:val="zh-CN"/>
        </w:rPr>
        <w:t>.</w:t>
      </w:r>
      <w:r>
        <w:rPr>
          <w:rFonts w:hint="eastAsia" w:ascii="仿宋_GB2312" w:hAnsi="仿宋_GB2312" w:eastAsia="仿宋_GB2312" w:cs="仿宋_GB2312"/>
          <w:sz w:val="24"/>
          <w:highlight w:val="none"/>
        </w:rPr>
        <w:t>2</w:t>
      </w:r>
      <w:r>
        <w:rPr>
          <w:rFonts w:hint="eastAsia" w:ascii="仿宋_GB2312" w:hAnsi="仿宋_GB2312" w:eastAsia="仿宋_GB2312" w:cs="仿宋_GB2312"/>
          <w:sz w:val="24"/>
          <w:highlight w:val="none"/>
          <w:lang w:val="zh-CN"/>
        </w:rPr>
        <w:t>响应文件有下列情况之一，采购人不予受理：</w:t>
      </w:r>
    </w:p>
    <w:p w14:paraId="6DC69B39">
      <w:pPr>
        <w:autoSpaceDE w:val="0"/>
        <w:autoSpaceDN w:val="0"/>
        <w:adjustRightInd w:val="0"/>
        <w:spacing w:line="360" w:lineRule="auto"/>
        <w:ind w:firstLine="480"/>
        <w:rPr>
          <w:rFonts w:hint="eastAsia" w:ascii="仿宋_GB2312" w:hAnsi="仿宋_GB2312" w:eastAsia="仿宋_GB2312" w:cs="仿宋_GB2312"/>
          <w:sz w:val="24"/>
          <w:highlight w:val="none"/>
          <w:lang w:val="zh-CN"/>
        </w:rPr>
      </w:pPr>
      <w:r>
        <w:rPr>
          <w:rFonts w:hint="eastAsia" w:ascii="仿宋_GB2312" w:hAnsi="仿宋_GB2312" w:eastAsia="仿宋_GB2312" w:cs="仿宋_GB2312"/>
          <w:sz w:val="24"/>
          <w:highlight w:val="none"/>
        </w:rPr>
        <w:t>1</w:t>
      </w:r>
      <w:r>
        <w:rPr>
          <w:rFonts w:hint="eastAsia" w:ascii="仿宋_GB2312" w:hAnsi="仿宋_GB2312" w:eastAsia="仿宋_GB2312" w:cs="仿宋_GB2312"/>
          <w:sz w:val="24"/>
          <w:highlight w:val="none"/>
          <w:lang w:val="zh-CN"/>
        </w:rPr>
        <w:t>.</w:t>
      </w:r>
      <w:r>
        <w:rPr>
          <w:rFonts w:hint="eastAsia" w:ascii="仿宋_GB2312" w:hAnsi="仿宋_GB2312" w:eastAsia="仿宋_GB2312" w:cs="仿宋_GB2312"/>
          <w:sz w:val="24"/>
          <w:highlight w:val="none"/>
        </w:rPr>
        <w:t>2</w:t>
      </w:r>
      <w:r>
        <w:rPr>
          <w:rFonts w:hint="eastAsia" w:ascii="仿宋_GB2312" w:hAnsi="仿宋_GB2312" w:eastAsia="仿宋_GB2312" w:cs="仿宋_GB2312"/>
          <w:sz w:val="24"/>
          <w:highlight w:val="none"/>
          <w:lang w:val="zh-CN"/>
        </w:rPr>
        <w:t>.1逾期送达的或者未送达指定地点的。</w:t>
      </w:r>
    </w:p>
    <w:p w14:paraId="683D3274">
      <w:pPr>
        <w:autoSpaceDE w:val="0"/>
        <w:autoSpaceDN w:val="0"/>
        <w:adjustRightInd w:val="0"/>
        <w:spacing w:line="360" w:lineRule="auto"/>
        <w:ind w:firstLine="480"/>
        <w:rPr>
          <w:rFonts w:hint="eastAsia" w:ascii="仿宋_GB2312" w:hAnsi="仿宋_GB2312" w:eastAsia="仿宋_GB2312" w:cs="仿宋_GB2312"/>
          <w:sz w:val="24"/>
          <w:highlight w:val="none"/>
          <w:lang w:val="zh-CN"/>
        </w:rPr>
      </w:pPr>
      <w:r>
        <w:rPr>
          <w:rFonts w:hint="eastAsia" w:ascii="仿宋_GB2312" w:hAnsi="仿宋_GB2312" w:eastAsia="仿宋_GB2312" w:cs="仿宋_GB2312"/>
          <w:sz w:val="24"/>
          <w:highlight w:val="none"/>
        </w:rPr>
        <w:t>1</w:t>
      </w:r>
      <w:r>
        <w:rPr>
          <w:rFonts w:hint="eastAsia" w:ascii="仿宋_GB2312" w:hAnsi="仿宋_GB2312" w:eastAsia="仿宋_GB2312" w:cs="仿宋_GB2312"/>
          <w:sz w:val="24"/>
          <w:highlight w:val="none"/>
          <w:lang w:val="zh-CN"/>
        </w:rPr>
        <w:t>.</w:t>
      </w:r>
      <w:r>
        <w:rPr>
          <w:rFonts w:hint="eastAsia" w:ascii="仿宋_GB2312" w:hAnsi="仿宋_GB2312" w:eastAsia="仿宋_GB2312" w:cs="仿宋_GB2312"/>
          <w:sz w:val="24"/>
          <w:highlight w:val="none"/>
        </w:rPr>
        <w:t>2</w:t>
      </w:r>
      <w:r>
        <w:rPr>
          <w:rFonts w:hint="eastAsia" w:ascii="仿宋_GB2312" w:hAnsi="仿宋_GB2312" w:eastAsia="仿宋_GB2312" w:cs="仿宋_GB2312"/>
          <w:sz w:val="24"/>
          <w:highlight w:val="none"/>
          <w:lang w:val="zh-CN"/>
        </w:rPr>
        <w:t>.2未按照谈判文件要求密封、标记的。</w:t>
      </w:r>
    </w:p>
    <w:p w14:paraId="493561FB">
      <w:pPr>
        <w:autoSpaceDE w:val="0"/>
        <w:autoSpaceDN w:val="0"/>
        <w:adjustRightInd w:val="0"/>
        <w:spacing w:line="360" w:lineRule="auto"/>
        <w:ind w:firstLine="480"/>
        <w:rPr>
          <w:rFonts w:hint="eastAsia" w:ascii="仿宋_GB2312" w:hAnsi="仿宋_GB2312" w:eastAsia="仿宋_GB2312" w:cs="仿宋_GB2312"/>
          <w:sz w:val="24"/>
          <w:highlight w:val="none"/>
          <w:lang w:val="zh-CN"/>
        </w:rPr>
      </w:pPr>
      <w:r>
        <w:rPr>
          <w:rFonts w:hint="eastAsia" w:ascii="仿宋_GB2312" w:hAnsi="仿宋_GB2312" w:eastAsia="仿宋_GB2312" w:cs="仿宋_GB2312"/>
          <w:sz w:val="24"/>
          <w:highlight w:val="none"/>
        </w:rPr>
        <w:t>1</w:t>
      </w:r>
      <w:r>
        <w:rPr>
          <w:rFonts w:hint="eastAsia" w:ascii="仿宋_GB2312" w:hAnsi="仿宋_GB2312" w:eastAsia="仿宋_GB2312" w:cs="仿宋_GB2312"/>
          <w:sz w:val="24"/>
          <w:highlight w:val="none"/>
          <w:lang w:val="zh-CN"/>
        </w:rPr>
        <w:t>.</w:t>
      </w:r>
      <w:r>
        <w:rPr>
          <w:rFonts w:hint="eastAsia" w:ascii="仿宋_GB2312" w:hAnsi="仿宋_GB2312" w:eastAsia="仿宋_GB2312" w:cs="仿宋_GB2312"/>
          <w:sz w:val="24"/>
          <w:highlight w:val="none"/>
        </w:rPr>
        <w:t>2</w:t>
      </w:r>
      <w:r>
        <w:rPr>
          <w:rFonts w:hint="eastAsia" w:ascii="仿宋_GB2312" w:hAnsi="仿宋_GB2312" w:eastAsia="仿宋_GB2312" w:cs="仿宋_GB2312"/>
          <w:sz w:val="24"/>
          <w:highlight w:val="none"/>
          <w:lang w:val="zh-CN"/>
        </w:rPr>
        <w:t>.3违反招标、投标纪律的。</w:t>
      </w:r>
    </w:p>
    <w:p w14:paraId="02405D2B">
      <w:pPr>
        <w:autoSpaceDE w:val="0"/>
        <w:autoSpaceDN w:val="0"/>
        <w:adjustRightInd w:val="0"/>
        <w:spacing w:line="360" w:lineRule="auto"/>
        <w:ind w:firstLine="480"/>
        <w:rPr>
          <w:rFonts w:hint="eastAsia" w:ascii="仿宋_GB2312" w:hAnsi="仿宋_GB2312" w:eastAsia="仿宋_GB2312" w:cs="仿宋_GB2312"/>
          <w:sz w:val="24"/>
          <w:highlight w:val="none"/>
          <w:lang w:val="zh-CN"/>
        </w:rPr>
      </w:pPr>
      <w:r>
        <w:rPr>
          <w:rFonts w:hint="eastAsia" w:ascii="仿宋_GB2312" w:hAnsi="仿宋_GB2312" w:eastAsia="仿宋_GB2312" w:cs="仿宋_GB2312"/>
          <w:sz w:val="24"/>
          <w:highlight w:val="none"/>
        </w:rPr>
        <w:t>1</w:t>
      </w:r>
      <w:r>
        <w:rPr>
          <w:rFonts w:hint="eastAsia" w:ascii="仿宋_GB2312" w:hAnsi="仿宋_GB2312" w:eastAsia="仿宋_GB2312" w:cs="仿宋_GB2312"/>
          <w:sz w:val="24"/>
          <w:highlight w:val="none"/>
          <w:lang w:val="zh-CN"/>
        </w:rPr>
        <w:t>.</w:t>
      </w:r>
      <w:r>
        <w:rPr>
          <w:rFonts w:hint="eastAsia" w:ascii="仿宋_GB2312" w:hAnsi="仿宋_GB2312" w:eastAsia="仿宋_GB2312" w:cs="仿宋_GB2312"/>
          <w:sz w:val="24"/>
          <w:highlight w:val="none"/>
        </w:rPr>
        <w:t>2</w:t>
      </w:r>
      <w:r>
        <w:rPr>
          <w:rFonts w:hint="eastAsia" w:ascii="仿宋_GB2312" w:hAnsi="仿宋_GB2312" w:eastAsia="仿宋_GB2312" w:cs="仿宋_GB2312"/>
          <w:sz w:val="24"/>
          <w:highlight w:val="none"/>
          <w:lang w:val="zh-CN"/>
        </w:rPr>
        <w:t>.4开启响应文件后，供应商再对响应文件的密封情况提出异议的。</w:t>
      </w:r>
    </w:p>
    <w:p w14:paraId="7C1919C2">
      <w:pPr>
        <w:autoSpaceDE w:val="0"/>
        <w:autoSpaceDN w:val="0"/>
        <w:adjustRightInd w:val="0"/>
        <w:spacing w:line="360" w:lineRule="auto"/>
        <w:rPr>
          <w:rFonts w:hint="eastAsia" w:ascii="仿宋_GB2312" w:hAnsi="仿宋_GB2312" w:eastAsia="仿宋_GB2312" w:cs="仿宋_GB2312"/>
          <w:sz w:val="24"/>
          <w:highlight w:val="none"/>
          <w:lang w:val="zh-CN"/>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zh-CN"/>
        </w:rPr>
        <w:t>.谈判小组</w:t>
      </w:r>
    </w:p>
    <w:p w14:paraId="19A85D7F">
      <w:pPr>
        <w:tabs>
          <w:tab w:val="left" w:pos="720"/>
        </w:tabs>
        <w:autoSpaceDE w:val="0"/>
        <w:autoSpaceDN w:val="0"/>
        <w:adjustRightInd w:val="0"/>
        <w:spacing w:line="360" w:lineRule="auto"/>
        <w:ind w:firstLine="480"/>
        <w:rPr>
          <w:rFonts w:hint="eastAsia" w:ascii="仿宋_GB2312" w:hAnsi="仿宋_GB2312" w:eastAsia="仿宋_GB2312" w:cs="仿宋_GB2312"/>
          <w:sz w:val="24"/>
          <w:highlight w:val="none"/>
          <w:lang w:val="zh-CN"/>
        </w:rPr>
      </w:pPr>
      <w:r>
        <w:rPr>
          <w:rFonts w:hint="eastAsia" w:ascii="仿宋_GB2312" w:hAnsi="仿宋_GB2312" w:eastAsia="仿宋_GB2312" w:cs="仿宋_GB2312"/>
          <w:sz w:val="24"/>
          <w:highlight w:val="none"/>
        </w:rPr>
        <w:t>2</w:t>
      </w:r>
      <w:r>
        <w:rPr>
          <w:rFonts w:hint="eastAsia" w:ascii="仿宋_GB2312" w:hAnsi="仿宋_GB2312" w:eastAsia="仿宋_GB2312" w:cs="仿宋_GB2312"/>
          <w:sz w:val="24"/>
          <w:highlight w:val="none"/>
          <w:lang w:val="zh-CN"/>
        </w:rPr>
        <w:t>.1谈判小组的组成</w:t>
      </w:r>
    </w:p>
    <w:p w14:paraId="348067CD">
      <w:pPr>
        <w:tabs>
          <w:tab w:val="left" w:pos="720"/>
        </w:tabs>
        <w:autoSpaceDE w:val="0"/>
        <w:autoSpaceDN w:val="0"/>
        <w:adjustRightInd w:val="0"/>
        <w:spacing w:line="360" w:lineRule="auto"/>
        <w:ind w:firstLine="480"/>
        <w:rPr>
          <w:rFonts w:hint="eastAsia" w:ascii="仿宋_GB2312" w:hAnsi="仿宋_GB2312" w:eastAsia="仿宋_GB2312" w:cs="仿宋_GB2312"/>
          <w:sz w:val="24"/>
          <w:highlight w:val="none"/>
          <w:lang w:val="zh-CN"/>
        </w:rPr>
      </w:pPr>
      <w:r>
        <w:rPr>
          <w:rFonts w:hint="eastAsia" w:ascii="仿宋_GB2312" w:hAnsi="仿宋_GB2312" w:eastAsia="仿宋_GB2312" w:cs="仿宋_GB2312"/>
          <w:sz w:val="24"/>
          <w:highlight w:val="none"/>
          <w:lang w:val="zh-CN"/>
        </w:rPr>
        <w:t>采购人按照有关规定组建谈判小组。谈判由依法组建的谈判小组负责。谈判小组由采购人代表组成，成员人数为三人以及以上单数。</w:t>
      </w:r>
    </w:p>
    <w:p w14:paraId="47A03FEF">
      <w:pPr>
        <w:autoSpaceDE w:val="0"/>
        <w:autoSpaceDN w:val="0"/>
        <w:adjustRightInd w:val="0"/>
        <w:spacing w:line="360" w:lineRule="auto"/>
        <w:ind w:firstLine="482"/>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w:t>
      </w:r>
      <w:r>
        <w:rPr>
          <w:rFonts w:hint="eastAsia" w:ascii="仿宋_GB2312" w:hAnsi="仿宋_GB2312" w:eastAsia="仿宋_GB2312" w:cs="仿宋_GB2312"/>
          <w:sz w:val="24"/>
          <w:highlight w:val="none"/>
          <w:lang w:val="zh-CN"/>
        </w:rPr>
        <w:t>.2谈判小组成员不得参加与自己有利害关系的评审活动，与自己有利害关系的应当回避，已经进入的必须更换。</w:t>
      </w:r>
    </w:p>
    <w:p w14:paraId="0801C3D2">
      <w:pPr>
        <w:autoSpaceDE w:val="0"/>
        <w:autoSpaceDN w:val="0"/>
        <w:adjustRightInd w:val="0"/>
        <w:spacing w:line="360" w:lineRule="auto"/>
        <w:ind w:firstLine="482"/>
        <w:rPr>
          <w:rFonts w:hint="eastAsia" w:ascii="仿宋_GB2312" w:hAnsi="仿宋_GB2312" w:eastAsia="仿宋_GB2312" w:cs="仿宋_GB2312"/>
          <w:sz w:val="24"/>
          <w:highlight w:val="none"/>
          <w:lang w:val="zh-CN"/>
        </w:rPr>
      </w:pPr>
      <w:r>
        <w:rPr>
          <w:rFonts w:hint="eastAsia" w:ascii="仿宋_GB2312" w:hAnsi="仿宋_GB2312" w:eastAsia="仿宋_GB2312" w:cs="仿宋_GB2312"/>
          <w:sz w:val="24"/>
          <w:highlight w:val="none"/>
        </w:rPr>
        <w:t>2</w:t>
      </w:r>
      <w:r>
        <w:rPr>
          <w:rFonts w:hint="eastAsia" w:ascii="仿宋_GB2312" w:hAnsi="仿宋_GB2312" w:eastAsia="仿宋_GB2312" w:cs="仿宋_GB2312"/>
          <w:sz w:val="24"/>
          <w:highlight w:val="none"/>
          <w:lang w:val="zh-CN"/>
        </w:rPr>
        <w:t>.3谈判小组负责对各响应文件进行评审、评定，并按本谈判文件的规定确定成交供应商或者推荐成交候选供应商。</w:t>
      </w:r>
    </w:p>
    <w:p w14:paraId="5F6E7588">
      <w:pPr>
        <w:autoSpaceDE w:val="0"/>
        <w:autoSpaceDN w:val="0"/>
        <w:adjustRightInd w:val="0"/>
        <w:spacing w:line="360" w:lineRule="auto"/>
        <w:ind w:firstLine="482"/>
        <w:rPr>
          <w:rFonts w:hint="eastAsia" w:ascii="仿宋_GB2312" w:hAnsi="仿宋_GB2312" w:eastAsia="仿宋_GB2312" w:cs="仿宋_GB2312"/>
          <w:sz w:val="24"/>
          <w:highlight w:val="none"/>
          <w:lang w:val="zh-CN"/>
        </w:rPr>
      </w:pPr>
      <w:r>
        <w:rPr>
          <w:rFonts w:hint="eastAsia" w:ascii="仿宋_GB2312" w:hAnsi="仿宋_GB2312" w:eastAsia="仿宋_GB2312" w:cs="仿宋_GB2312"/>
          <w:sz w:val="24"/>
          <w:highlight w:val="none"/>
        </w:rPr>
        <w:t>2</w:t>
      </w:r>
      <w:r>
        <w:rPr>
          <w:rFonts w:hint="eastAsia" w:ascii="仿宋_GB2312" w:hAnsi="仿宋_GB2312" w:eastAsia="仿宋_GB2312" w:cs="仿宋_GB2312"/>
          <w:sz w:val="24"/>
          <w:highlight w:val="none"/>
          <w:lang w:val="zh-CN"/>
        </w:rPr>
        <w:t>.4谈判小组具有依据谈判文件进行独立评审的权力，且不受外界任何因素的干扰。谈判小组成员必须独立、负责地提出评审意见。对评审结果有不同意见的应当以书面形式说明其不同意见和理由，评审报告应当注明不同意见。拒绝评审或者拒绝在评审报告上签字并且又不书面说明其不同意见和理由的，视为同意评审结果。</w:t>
      </w:r>
    </w:p>
    <w:p w14:paraId="10FF7AEB">
      <w:pPr>
        <w:autoSpaceDE w:val="0"/>
        <w:autoSpaceDN w:val="0"/>
        <w:adjustRightInd w:val="0"/>
        <w:spacing w:line="360" w:lineRule="auto"/>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3</w:t>
      </w:r>
      <w:r>
        <w:rPr>
          <w:rFonts w:hint="eastAsia" w:ascii="仿宋_GB2312" w:hAnsi="仿宋_GB2312" w:eastAsia="仿宋_GB2312" w:cs="仿宋_GB2312"/>
          <w:sz w:val="28"/>
          <w:szCs w:val="28"/>
          <w:highlight w:val="none"/>
          <w:lang w:val="zh-CN"/>
        </w:rPr>
        <w:t>.谈判</w:t>
      </w:r>
    </w:p>
    <w:p w14:paraId="341B3D73">
      <w:pPr>
        <w:spacing w:line="360" w:lineRule="auto"/>
        <w:ind w:firstLine="480" w:firstLineChars="200"/>
        <w:rPr>
          <w:rFonts w:hint="eastAsia" w:ascii="仿宋_GB2312" w:hAnsi="仿宋_GB2312" w:eastAsia="仿宋_GB2312" w:cs="仿宋_GB2312"/>
          <w:sz w:val="24"/>
          <w:szCs w:val="24"/>
          <w:highlight w:val="none"/>
          <w:lang w:val="en-GB"/>
        </w:rPr>
      </w:pPr>
      <w:r>
        <w:rPr>
          <w:rFonts w:hint="eastAsia" w:ascii="仿宋_GB2312" w:hAnsi="仿宋_GB2312" w:eastAsia="仿宋_GB2312" w:cs="仿宋_GB2312"/>
          <w:sz w:val="24"/>
          <w:highlight w:val="none"/>
        </w:rPr>
        <w:t>3</w:t>
      </w:r>
      <w:r>
        <w:rPr>
          <w:rFonts w:hint="eastAsia" w:ascii="仿宋_GB2312" w:hAnsi="仿宋_GB2312" w:eastAsia="仿宋_GB2312" w:cs="仿宋_GB2312"/>
          <w:sz w:val="24"/>
          <w:highlight w:val="none"/>
          <w:lang w:val="en-GB"/>
        </w:rPr>
        <w:t>.1</w:t>
      </w:r>
      <w:r>
        <w:rPr>
          <w:rFonts w:hint="eastAsia" w:ascii="仿宋_GB2312" w:hAnsi="仿宋_GB2312" w:eastAsia="仿宋_GB2312" w:cs="仿宋_GB2312"/>
          <w:sz w:val="24"/>
          <w:szCs w:val="24"/>
          <w:highlight w:val="none"/>
          <w:lang w:val="en-GB"/>
        </w:rPr>
        <w:t>谈判前，谈判小组应核实供应商对统一谈判技术标准（包括强制性标准和行业标准）等是否全部承诺或者确认。</w:t>
      </w:r>
    </w:p>
    <w:p w14:paraId="14112179">
      <w:pPr>
        <w:spacing w:line="360" w:lineRule="auto"/>
        <w:ind w:firstLine="480" w:firstLineChars="200"/>
        <w:rPr>
          <w:rFonts w:hint="eastAsia" w:ascii="仿宋_GB2312" w:hAnsi="仿宋_GB2312" w:eastAsia="仿宋_GB2312" w:cs="仿宋_GB2312"/>
          <w:sz w:val="24"/>
          <w:highlight w:val="none"/>
          <w:lang w:val="en-GB"/>
        </w:rPr>
      </w:pPr>
      <w:r>
        <w:rPr>
          <w:rFonts w:hint="eastAsia" w:ascii="仿宋_GB2312" w:hAnsi="仿宋_GB2312" w:eastAsia="仿宋_GB2312" w:cs="仿宋_GB2312"/>
          <w:sz w:val="24"/>
          <w:szCs w:val="24"/>
          <w:highlight w:val="none"/>
        </w:rPr>
        <w:t>3</w:t>
      </w:r>
      <w:r>
        <w:rPr>
          <w:rFonts w:hint="eastAsia" w:ascii="仿宋_GB2312" w:hAnsi="仿宋_GB2312" w:eastAsia="仿宋_GB2312" w:cs="仿宋_GB2312"/>
          <w:sz w:val="24"/>
          <w:szCs w:val="24"/>
          <w:highlight w:val="none"/>
          <w:lang w:val="en-GB"/>
        </w:rPr>
        <w:t>.2谈判小组所有成员集中与单一供应商进行谈判。在谈判中，谈判的任何一方不得透露与谈判有关的其他供应商的技术资料、价格和其他信息。</w:t>
      </w:r>
    </w:p>
    <w:p w14:paraId="703DD760">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highlight w:val="none"/>
        </w:rPr>
        <w:t>3</w:t>
      </w:r>
      <w:r>
        <w:rPr>
          <w:rFonts w:hint="eastAsia" w:ascii="仿宋_GB2312" w:hAnsi="仿宋_GB2312" w:eastAsia="仿宋_GB2312" w:cs="仿宋_GB2312"/>
          <w:sz w:val="24"/>
          <w:highlight w:val="none"/>
          <w:lang w:val="en-GB"/>
        </w:rPr>
        <w:t>.3</w:t>
      </w:r>
      <w:r>
        <w:rPr>
          <w:rFonts w:hint="eastAsia" w:ascii="仿宋_GB2312" w:hAnsi="仿宋_GB2312" w:eastAsia="仿宋_GB2312" w:cs="仿宋_GB2312"/>
          <w:sz w:val="24"/>
          <w:szCs w:val="24"/>
          <w:highlight w:val="none"/>
          <w:lang w:val="en-GB"/>
        </w:rPr>
        <w:t>谈判实行三轮报价法，第三轮报价为最终报价（其中第三轮报价需同时报出对应价格），第三轮报价最低的供应商为本项目中标人。参与谈判的供应商第一轮报价即为投标报价，在招标范围不变的情况下，以参与谈判的供应商第一轮报价中最低报价为谈判基准价，所有参与谈判的供应商第二轮报价不得高于该基准价，并且后一轮报价不得高于其前一轮报价，否则谈判小组有权据此确定为无效报价。若两家及以上供应商在第三轮报价中同为最低报价的，只给予同为最低报价的供应商追加报价机会（追加报价不受轮次限定，直至产生只有一家最低报价的供应商）</w:t>
      </w:r>
      <w:r>
        <w:rPr>
          <w:rFonts w:hint="eastAsia" w:ascii="仿宋_GB2312" w:hAnsi="仿宋_GB2312" w:eastAsia="仿宋_GB2312" w:cs="仿宋_GB2312"/>
          <w:sz w:val="24"/>
          <w:szCs w:val="24"/>
          <w:highlight w:val="none"/>
        </w:rPr>
        <w:t>。</w:t>
      </w:r>
    </w:p>
    <w:p w14:paraId="0F7C7577">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特殊情况及处置：（1）采购范围变化且总价不超过预算价的；（2）采购内容的报价严重低于市场价格的；（3）报价明细中个别报价明显高于市场价且无明确报价依据的；（4）最后一轮报价中最低报价相同的。发生上述情形之一的，谈判小组有权予以废标或者与供应商进行谈判后继续报价。</w:t>
      </w:r>
    </w:p>
    <w:p w14:paraId="34B305D0">
      <w:pPr>
        <w:spacing w:line="360" w:lineRule="auto"/>
        <w:rPr>
          <w:rFonts w:hint="eastAsia" w:ascii="仿宋_GB2312" w:hAnsi="仿宋_GB2312" w:eastAsia="仿宋_GB2312" w:cs="仿宋_GB2312"/>
          <w:sz w:val="28"/>
          <w:szCs w:val="28"/>
          <w:highlight w:val="none"/>
          <w:lang w:val="en-GB"/>
        </w:rPr>
      </w:pPr>
      <w:r>
        <w:rPr>
          <w:rFonts w:hint="eastAsia" w:ascii="仿宋_GB2312" w:hAnsi="仿宋_GB2312" w:eastAsia="仿宋_GB2312" w:cs="仿宋_GB2312"/>
          <w:sz w:val="28"/>
          <w:szCs w:val="28"/>
          <w:highlight w:val="none"/>
        </w:rPr>
        <w:t>4</w:t>
      </w:r>
      <w:r>
        <w:rPr>
          <w:rFonts w:hint="eastAsia" w:ascii="仿宋_GB2312" w:hAnsi="仿宋_GB2312" w:eastAsia="仿宋_GB2312" w:cs="仿宋_GB2312"/>
          <w:sz w:val="28"/>
          <w:szCs w:val="28"/>
          <w:highlight w:val="none"/>
          <w:lang w:val="en-GB"/>
        </w:rPr>
        <w:t>.成交</w:t>
      </w:r>
    </w:p>
    <w:p w14:paraId="52F2BD26">
      <w:pPr>
        <w:spacing w:line="360" w:lineRule="auto"/>
        <w:ind w:firstLine="480" w:firstLineChars="200"/>
        <w:rPr>
          <w:rFonts w:hint="eastAsia" w:ascii="仿宋_GB2312" w:hAnsi="仿宋_GB2312" w:eastAsia="仿宋_GB2312" w:cs="仿宋_GB2312"/>
          <w:sz w:val="24"/>
          <w:szCs w:val="24"/>
          <w:highlight w:val="none"/>
          <w:lang w:val="en-GB"/>
        </w:rPr>
      </w:pPr>
      <w:r>
        <w:rPr>
          <w:rFonts w:hint="eastAsia" w:ascii="仿宋_GB2312" w:hAnsi="仿宋_GB2312" w:eastAsia="仿宋_GB2312" w:cs="仿宋_GB2312"/>
          <w:sz w:val="24"/>
          <w:szCs w:val="24"/>
          <w:highlight w:val="none"/>
        </w:rPr>
        <w:t>4</w:t>
      </w:r>
      <w:r>
        <w:rPr>
          <w:rFonts w:hint="eastAsia" w:ascii="仿宋_GB2312" w:hAnsi="仿宋_GB2312" w:eastAsia="仿宋_GB2312" w:cs="仿宋_GB2312"/>
          <w:sz w:val="24"/>
          <w:szCs w:val="24"/>
          <w:highlight w:val="none"/>
          <w:lang w:val="en-GB"/>
        </w:rPr>
        <w:t>.1谈判文件规定推荐成交候选供应商的，成交候选供应商数量应当根据招标需要并在采购活动开始前确定，由谈判小组按照谈判文件规定的评审办法确定各供应商排列顺序，依照顺序推荐成交候选供应商数量。</w:t>
      </w:r>
    </w:p>
    <w:p w14:paraId="454F4AAC">
      <w:pPr>
        <w:spacing w:line="360" w:lineRule="auto"/>
        <w:ind w:firstLine="480" w:firstLineChars="200"/>
        <w:rPr>
          <w:rFonts w:hint="eastAsia" w:ascii="仿宋_GB2312" w:hAnsi="仿宋_GB2312" w:eastAsia="仿宋_GB2312" w:cs="仿宋_GB2312"/>
          <w:sz w:val="24"/>
          <w:szCs w:val="24"/>
          <w:highlight w:val="none"/>
          <w:lang w:val="en-GB"/>
        </w:rPr>
      </w:pPr>
      <w:r>
        <w:rPr>
          <w:rFonts w:hint="eastAsia" w:ascii="仿宋_GB2312" w:hAnsi="仿宋_GB2312" w:eastAsia="仿宋_GB2312" w:cs="仿宋_GB2312"/>
          <w:sz w:val="24"/>
          <w:szCs w:val="24"/>
          <w:highlight w:val="none"/>
        </w:rPr>
        <w:t>4</w:t>
      </w:r>
      <w:r>
        <w:rPr>
          <w:rFonts w:hint="eastAsia" w:ascii="仿宋_GB2312" w:hAnsi="仿宋_GB2312" w:eastAsia="仿宋_GB2312" w:cs="仿宋_GB2312"/>
          <w:sz w:val="24"/>
          <w:szCs w:val="24"/>
          <w:highlight w:val="none"/>
          <w:lang w:val="en-GB"/>
        </w:rPr>
        <w:t>.</w:t>
      </w:r>
      <w:r>
        <w:rPr>
          <w:rFonts w:hint="eastAsia" w:ascii="仿宋_GB2312" w:hAnsi="仿宋_GB2312" w:eastAsia="仿宋_GB2312" w:cs="仿宋_GB2312"/>
          <w:sz w:val="24"/>
          <w:szCs w:val="24"/>
          <w:highlight w:val="none"/>
        </w:rPr>
        <w:t>2</w:t>
      </w:r>
      <w:r>
        <w:rPr>
          <w:rFonts w:hint="eastAsia" w:ascii="仿宋_GB2312" w:hAnsi="仿宋_GB2312" w:eastAsia="仿宋_GB2312" w:cs="仿宋_GB2312"/>
          <w:sz w:val="24"/>
          <w:szCs w:val="24"/>
          <w:highlight w:val="none"/>
          <w:lang w:val="en-GB"/>
        </w:rPr>
        <w:t>本次采购采用最低评标价法，是指以价格为主要因素确定成交供应商的评审方法。即在全部满足采购文件实质性要求，且采购需求、质量和服务相等的前提下，依据统一的价格要素评定最低报价，按最终报价由低到高的顺序排序，确定成交供应商或推荐成交候选供应商的评审方法。</w:t>
      </w:r>
    </w:p>
    <w:p w14:paraId="0DF08998">
      <w:pPr>
        <w:spacing w:line="360" w:lineRule="auto"/>
        <w:ind w:firstLine="566" w:firstLineChars="236"/>
        <w:rPr>
          <w:rFonts w:hint="eastAsia" w:ascii="仿宋_GB2312" w:hAnsi="仿宋_GB2312" w:eastAsia="仿宋_GB2312" w:cs="仿宋_GB2312"/>
          <w:sz w:val="24"/>
          <w:highlight w:val="none"/>
          <w:lang w:val="en-GB"/>
        </w:rPr>
      </w:pPr>
      <w:r>
        <w:rPr>
          <w:rFonts w:hint="eastAsia" w:ascii="仿宋_GB2312" w:hAnsi="仿宋_GB2312" w:eastAsia="仿宋_GB2312" w:cs="仿宋_GB2312"/>
          <w:sz w:val="24"/>
          <w:highlight w:val="none"/>
        </w:rPr>
        <w:t>4</w:t>
      </w:r>
      <w:r>
        <w:rPr>
          <w:rFonts w:hint="eastAsia" w:ascii="仿宋_GB2312" w:hAnsi="仿宋_GB2312" w:eastAsia="仿宋_GB2312" w:cs="仿宋_GB2312"/>
          <w:sz w:val="24"/>
          <w:highlight w:val="none"/>
          <w:lang w:val="en-GB"/>
        </w:rPr>
        <w:t>.</w:t>
      </w:r>
      <w:r>
        <w:rPr>
          <w:rFonts w:hint="eastAsia" w:ascii="仿宋_GB2312" w:hAnsi="仿宋_GB2312" w:eastAsia="仿宋_GB2312" w:cs="仿宋_GB2312"/>
          <w:sz w:val="24"/>
          <w:highlight w:val="none"/>
        </w:rPr>
        <w:t>3</w:t>
      </w:r>
      <w:r>
        <w:rPr>
          <w:rFonts w:hint="eastAsia" w:ascii="仿宋_GB2312" w:hAnsi="仿宋_GB2312" w:eastAsia="仿宋_GB2312" w:cs="仿宋_GB2312"/>
          <w:sz w:val="24"/>
          <w:highlight w:val="none"/>
          <w:lang w:val="en-GB"/>
        </w:rPr>
        <w:t>按照有关规定成交供应商因</w:t>
      </w:r>
      <w:r>
        <w:rPr>
          <w:rFonts w:hint="eastAsia" w:ascii="仿宋_GB2312" w:hAnsi="仿宋_GB2312" w:eastAsia="仿宋_GB2312" w:cs="仿宋_GB2312"/>
          <w:sz w:val="24"/>
          <w:szCs w:val="24"/>
          <w:highlight w:val="none"/>
          <w:lang w:val="en-GB"/>
        </w:rPr>
        <w:t>不可抗力</w:t>
      </w:r>
      <w:r>
        <w:rPr>
          <w:rFonts w:hint="eastAsia" w:ascii="仿宋_GB2312" w:hAnsi="仿宋_GB2312" w:eastAsia="仿宋_GB2312" w:cs="仿宋_GB2312"/>
          <w:sz w:val="24"/>
          <w:highlight w:val="none"/>
          <w:lang w:val="en-GB"/>
        </w:rPr>
        <w:t>或者自身原因不能履行采购合同的，可顺延排序第二的供应商成交。或者做废标处理，由采购人依法重新组织招标。</w:t>
      </w:r>
    </w:p>
    <w:p w14:paraId="5FDB4F47">
      <w:pPr>
        <w:spacing w:line="360" w:lineRule="auto"/>
        <w:ind w:firstLine="566" w:firstLineChars="236"/>
        <w:rPr>
          <w:rFonts w:hint="eastAsia" w:ascii="仿宋_GB2312" w:hAnsi="仿宋_GB2312" w:eastAsia="仿宋_GB2312" w:cs="仿宋_GB2312"/>
          <w:sz w:val="24"/>
          <w:highlight w:val="none"/>
          <w:lang w:val="en-GB"/>
        </w:rPr>
      </w:pPr>
      <w:r>
        <w:rPr>
          <w:rFonts w:hint="eastAsia" w:ascii="仿宋_GB2312" w:hAnsi="仿宋_GB2312" w:eastAsia="仿宋_GB2312" w:cs="仿宋_GB2312"/>
          <w:sz w:val="24"/>
          <w:highlight w:val="none"/>
        </w:rPr>
        <w:t>4</w:t>
      </w:r>
      <w:r>
        <w:rPr>
          <w:rFonts w:hint="eastAsia" w:ascii="仿宋_GB2312" w:hAnsi="仿宋_GB2312" w:eastAsia="仿宋_GB2312" w:cs="仿宋_GB2312"/>
          <w:sz w:val="24"/>
          <w:highlight w:val="none"/>
          <w:lang w:val="en-GB"/>
        </w:rPr>
        <w:t>.</w:t>
      </w:r>
      <w:r>
        <w:rPr>
          <w:rFonts w:hint="eastAsia" w:ascii="仿宋_GB2312" w:hAnsi="仿宋_GB2312" w:eastAsia="仿宋_GB2312" w:cs="仿宋_GB2312"/>
          <w:sz w:val="24"/>
          <w:highlight w:val="none"/>
        </w:rPr>
        <w:t>4</w:t>
      </w:r>
      <w:r>
        <w:rPr>
          <w:rFonts w:hint="eastAsia" w:ascii="仿宋_GB2312" w:hAnsi="仿宋_GB2312" w:eastAsia="仿宋_GB2312" w:cs="仿宋_GB2312"/>
          <w:sz w:val="24"/>
          <w:highlight w:val="none"/>
          <w:lang w:val="en-GB"/>
        </w:rPr>
        <w:t>评审完成后，谈判小组出具评审报告，采购人向所有供应商宣布评审结果。</w:t>
      </w:r>
    </w:p>
    <w:p w14:paraId="7B7D466F">
      <w:pPr>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w:t>
      </w:r>
      <w:r>
        <w:rPr>
          <w:rFonts w:hint="eastAsia" w:ascii="仿宋_GB2312" w:hAnsi="仿宋_GB2312" w:eastAsia="仿宋_GB2312" w:cs="仿宋_GB2312"/>
          <w:sz w:val="28"/>
          <w:szCs w:val="28"/>
          <w:highlight w:val="none"/>
          <w:lang w:val="en-GB"/>
        </w:rPr>
        <w:t>成交及</w:t>
      </w:r>
      <w:r>
        <w:rPr>
          <w:rFonts w:hint="eastAsia" w:ascii="仿宋_GB2312" w:hAnsi="仿宋_GB2312" w:eastAsia="仿宋_GB2312" w:cs="仿宋_GB2312"/>
          <w:sz w:val="28"/>
          <w:szCs w:val="28"/>
          <w:highlight w:val="none"/>
        </w:rPr>
        <w:t>成交通知书</w:t>
      </w:r>
    </w:p>
    <w:p w14:paraId="100402E5">
      <w:pPr>
        <w:autoSpaceDE w:val="0"/>
        <w:autoSpaceDN w:val="0"/>
        <w:adjustRightInd w:val="0"/>
        <w:spacing w:line="360" w:lineRule="auto"/>
        <w:ind w:firstLine="482"/>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5.1采购人应当在成交供应商确定后，在五个工作日内向成交供应商发出成交通知书。</w:t>
      </w:r>
    </w:p>
    <w:p w14:paraId="04EFB455">
      <w:pPr>
        <w:autoSpaceDE w:val="0"/>
        <w:autoSpaceDN w:val="0"/>
        <w:adjustRightInd w:val="0"/>
        <w:spacing w:line="360" w:lineRule="auto"/>
        <w:ind w:firstLine="482"/>
        <w:rPr>
          <w:rFonts w:hint="eastAsia" w:ascii="仿宋_GB2312" w:hAnsi="仿宋_GB2312" w:eastAsia="仿宋_GB2312" w:cs="仿宋_GB2312"/>
          <w:kern w:val="0"/>
          <w:sz w:val="24"/>
          <w:highlight w:val="none"/>
        </w:rPr>
      </w:pPr>
      <w:r>
        <w:rPr>
          <w:rFonts w:hint="eastAsia" w:ascii="仿宋_GB2312" w:hAnsi="仿宋_GB2312" w:eastAsia="仿宋_GB2312" w:cs="仿宋_GB2312"/>
          <w:sz w:val="24"/>
          <w:highlight w:val="none"/>
        </w:rPr>
        <w:t>5.2成交通知书对采购人和成交供应商都具有法律效力。成交通知书发出后，采购人改变成交结果的，或者成交供应商放弃成交，应当依法承担法律责任。</w:t>
      </w:r>
    </w:p>
    <w:p w14:paraId="7AE5C9A3">
      <w:pPr>
        <w:autoSpaceDE w:val="0"/>
        <w:autoSpaceDN w:val="0"/>
        <w:adjustRightInd w:val="0"/>
        <w:spacing w:line="360" w:lineRule="auto"/>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6</w:t>
      </w:r>
      <w:r>
        <w:rPr>
          <w:rFonts w:hint="eastAsia" w:ascii="仿宋_GB2312" w:hAnsi="仿宋_GB2312" w:eastAsia="仿宋_GB2312" w:cs="仿宋_GB2312"/>
          <w:sz w:val="28"/>
          <w:szCs w:val="28"/>
          <w:highlight w:val="none"/>
          <w:lang w:val="zh-CN"/>
        </w:rPr>
        <w:t>.废标</w:t>
      </w:r>
    </w:p>
    <w:p w14:paraId="5C756B39">
      <w:pPr>
        <w:pStyle w:val="7"/>
        <w:spacing w:before="0" w:beforeAutospacing="0" w:after="0" w:afterAutospacing="0" w:line="360" w:lineRule="auto"/>
        <w:ind w:firstLine="480"/>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rPr>
        <w:t>出现下列情形之一的，应予废标：</w:t>
      </w:r>
    </w:p>
    <w:p w14:paraId="1F9F5109">
      <w:pPr>
        <w:pStyle w:val="7"/>
        <w:spacing w:before="0" w:beforeAutospacing="0" w:after="0" w:afterAutospacing="0" w:line="360" w:lineRule="auto"/>
        <w:ind w:firstLine="480"/>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rPr>
        <w:t>6.1因情况变化，不再符合规定的竞争性谈判采购方式适用情形的。</w:t>
      </w:r>
    </w:p>
    <w:p w14:paraId="3DF48C41">
      <w:pPr>
        <w:pStyle w:val="7"/>
        <w:spacing w:before="0" w:beforeAutospacing="0" w:after="0" w:afterAutospacing="0" w:line="360" w:lineRule="auto"/>
        <w:ind w:firstLine="480"/>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rPr>
        <w:t>6.2符合条件的供应商或者对谈判文件作实质响应的供应商不足三家的。</w:t>
      </w:r>
    </w:p>
    <w:p w14:paraId="69B5661D">
      <w:pPr>
        <w:pStyle w:val="7"/>
        <w:spacing w:before="0" w:beforeAutospacing="0" w:after="0" w:afterAutospacing="0" w:line="360" w:lineRule="auto"/>
        <w:ind w:firstLine="480"/>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rPr>
        <w:t>6.3出现影响采购公正的违法、违规行为的。</w:t>
      </w:r>
    </w:p>
    <w:p w14:paraId="6F1B51D4">
      <w:pPr>
        <w:pStyle w:val="7"/>
        <w:spacing w:before="0" w:beforeAutospacing="0" w:after="0" w:afterAutospacing="0" w:line="360" w:lineRule="auto"/>
        <w:ind w:firstLine="480"/>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rPr>
        <w:t>6.4供应商的报价均超过了采购预算的。</w:t>
      </w:r>
    </w:p>
    <w:p w14:paraId="061F366B">
      <w:pPr>
        <w:pStyle w:val="7"/>
        <w:spacing w:before="0" w:beforeAutospacing="0" w:after="0" w:afterAutospacing="0" w:line="360" w:lineRule="auto"/>
        <w:ind w:firstLine="480"/>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rPr>
        <w:t>6.5因重大变故，采购任务取消的。</w:t>
      </w:r>
    </w:p>
    <w:p w14:paraId="767758D8">
      <w:pPr>
        <w:pStyle w:val="7"/>
        <w:spacing w:before="0" w:beforeAutospacing="0" w:after="0" w:afterAutospacing="0" w:line="360" w:lineRule="auto"/>
        <w:ind w:firstLine="480"/>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rPr>
        <w:t>6.6法律、法规以及谈判文件规定废标情形。</w:t>
      </w:r>
    </w:p>
    <w:p w14:paraId="4C2A22C0">
      <w:pPr>
        <w:pStyle w:val="7"/>
        <w:spacing w:before="0" w:beforeAutospacing="0" w:after="0" w:afterAutospacing="0" w:line="360" w:lineRule="auto"/>
        <w:ind w:firstLine="480"/>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lang w:val="zh-CN"/>
        </w:rPr>
        <w:t>废标必须经谈判小组集体做出决定，经谈判小组全体成员签字确认后生效。</w:t>
      </w:r>
      <w:r>
        <w:rPr>
          <w:rFonts w:hint="eastAsia" w:ascii="仿宋_GB2312" w:hAnsi="仿宋_GB2312" w:eastAsia="仿宋_GB2312" w:cs="仿宋_GB2312"/>
          <w:highlight w:val="none"/>
        </w:rPr>
        <w:t>废标后，采购人应当将废标理由通知所有参加谈判的供应商。</w:t>
      </w:r>
    </w:p>
    <w:p w14:paraId="66DB0F2F">
      <w:pPr>
        <w:spacing w:line="360" w:lineRule="auto"/>
        <w:ind w:firstLine="480" w:firstLineChars="200"/>
        <w:rPr>
          <w:rStyle w:val="15"/>
          <w:rFonts w:hint="eastAsia" w:ascii="仿宋_GB2312" w:hAnsi="仿宋_GB2312" w:eastAsia="仿宋_GB2312" w:cs="仿宋_GB2312"/>
          <w:sz w:val="24"/>
          <w:szCs w:val="24"/>
          <w:highlight w:val="none"/>
        </w:rPr>
      </w:pPr>
    </w:p>
    <w:p w14:paraId="1A962351">
      <w:pPr>
        <w:spacing w:line="420" w:lineRule="exact"/>
        <w:ind w:firstLine="420" w:firstLineChars="200"/>
        <w:rPr>
          <w:rFonts w:hint="eastAsia" w:ascii="仿宋_GB2312" w:hAnsi="仿宋_GB2312" w:eastAsia="仿宋_GB2312" w:cs="仿宋_GB2312"/>
          <w:highlight w:val="none"/>
        </w:rPr>
      </w:pPr>
    </w:p>
    <w:p w14:paraId="2FD394CD">
      <w:pPr>
        <w:rPr>
          <w:rFonts w:hint="eastAsia" w:ascii="仿宋_GB2312" w:hAnsi="仿宋_GB2312" w:eastAsia="仿宋_GB2312" w:cs="仿宋_GB2312"/>
          <w:highlight w:val="none"/>
        </w:rPr>
        <w:sectPr>
          <w:pgSz w:w="11906" w:h="16838"/>
          <w:pgMar w:top="1418" w:right="1418" w:bottom="1418" w:left="1418" w:header="851" w:footer="992" w:gutter="0"/>
          <w:cols w:space="720" w:num="1"/>
          <w:docGrid w:type="lines" w:linePitch="312" w:charSpace="0"/>
        </w:sectPr>
      </w:pPr>
    </w:p>
    <w:p w14:paraId="660FB275">
      <w:pPr>
        <w:spacing w:after="156" w:afterLines="50"/>
        <w:jc w:val="center"/>
        <w:outlineLvl w:val="1"/>
        <w:rPr>
          <w:rFonts w:hint="eastAsia" w:ascii="仿宋_GB2312" w:hAnsi="仿宋_GB2312" w:eastAsia="仿宋_GB2312" w:cs="仿宋_GB2312"/>
          <w:sz w:val="28"/>
          <w:szCs w:val="28"/>
          <w:highlight w:val="none"/>
        </w:rPr>
      </w:pPr>
      <w:bookmarkStart w:id="28" w:name="_Toc469327405"/>
      <w:bookmarkStart w:id="29" w:name="_Toc427823747"/>
      <w:bookmarkStart w:id="30" w:name="_Toc126742734"/>
      <w:r>
        <w:rPr>
          <w:rFonts w:hint="eastAsia" w:ascii="仿宋_GB2312" w:hAnsi="仿宋_GB2312" w:eastAsia="仿宋_GB2312" w:cs="仿宋_GB2312"/>
          <w:sz w:val="28"/>
          <w:szCs w:val="28"/>
          <w:highlight w:val="none"/>
        </w:rPr>
        <w:t>第七章  响应文件格式</w:t>
      </w:r>
      <w:bookmarkEnd w:id="28"/>
      <w:bookmarkEnd w:id="29"/>
      <w:bookmarkEnd w:id="30"/>
    </w:p>
    <w:p w14:paraId="0828CFBD">
      <w:pPr>
        <w:widowControl/>
        <w:autoSpaceDE w:val="0"/>
        <w:autoSpaceDN w:val="0"/>
        <w:adjustRightInd w:val="0"/>
        <w:spacing w:line="480" w:lineRule="auto"/>
        <w:ind w:right="-481"/>
        <w:jc w:val="left"/>
        <w:rPr>
          <w:rFonts w:hint="eastAsia" w:ascii="仿宋_GB2312" w:hAnsi="仿宋_GB2312" w:eastAsia="仿宋_GB2312" w:cs="仿宋_GB2312"/>
          <w:sz w:val="28"/>
          <w:szCs w:val="28"/>
          <w:highlight w:val="none"/>
          <w:lang w:val="zh-CN"/>
        </w:rPr>
      </w:pPr>
      <w:r>
        <w:rPr>
          <w:rStyle w:val="15"/>
          <w:rFonts w:hint="eastAsia" w:ascii="仿宋_GB2312" w:hAnsi="仿宋_GB2312" w:eastAsia="仿宋_GB2312" w:cs="仿宋_GB2312"/>
          <w:sz w:val="24"/>
          <w:szCs w:val="24"/>
          <w:highlight w:val="none"/>
        </w:rPr>
        <w:t xml:space="preserve">附件1：                       </w:t>
      </w:r>
      <w:r>
        <w:rPr>
          <w:rFonts w:hint="eastAsia" w:ascii="仿宋_GB2312" w:hAnsi="仿宋_GB2312" w:eastAsia="仿宋_GB2312" w:cs="仿宋_GB2312"/>
          <w:kern w:val="1"/>
          <w:sz w:val="28"/>
          <w:szCs w:val="28"/>
          <w:highlight w:val="none"/>
        </w:rPr>
        <w:t>报价</w:t>
      </w:r>
      <w:r>
        <w:rPr>
          <w:rFonts w:hint="eastAsia" w:ascii="仿宋_GB2312" w:hAnsi="仿宋_GB2312" w:eastAsia="仿宋_GB2312" w:cs="仿宋_GB2312"/>
          <w:sz w:val="28"/>
          <w:szCs w:val="28"/>
          <w:highlight w:val="none"/>
          <w:lang w:val="zh-CN"/>
        </w:rPr>
        <w:t>一览表</w:t>
      </w:r>
    </w:p>
    <w:p w14:paraId="1FCEBCC7">
      <w:pPr>
        <w:pStyle w:val="16"/>
        <w:rPr>
          <w:rFonts w:hint="eastAsia" w:ascii="仿宋_GB2312" w:hAnsi="仿宋_GB2312" w:eastAsia="仿宋_GB2312" w:cs="仿宋_GB2312"/>
          <w:kern w:val="0"/>
          <w:szCs w:val="22"/>
          <w:highlight w:val="none"/>
          <w:lang w:val="zh-CN"/>
        </w:rPr>
      </w:pPr>
    </w:p>
    <w:p w14:paraId="01DA11E6">
      <w:pPr>
        <w:pStyle w:val="16"/>
        <w:rPr>
          <w:rFonts w:hint="eastAsia" w:ascii="仿宋_GB2312" w:hAnsi="仿宋_GB2312" w:eastAsia="仿宋_GB2312" w:cs="仿宋_GB2312"/>
          <w:kern w:val="0"/>
          <w:szCs w:val="22"/>
          <w:highlight w:val="none"/>
          <w:lang w:val="zh-CN"/>
        </w:rPr>
      </w:pPr>
    </w:p>
    <w:tbl>
      <w:tblPr>
        <w:tblStyle w:val="9"/>
        <w:tblW w:w="9637" w:type="dxa"/>
        <w:tblInd w:w="98" w:type="dxa"/>
        <w:tblLayout w:type="fixed"/>
        <w:tblCellMar>
          <w:top w:w="0" w:type="dxa"/>
          <w:left w:w="108" w:type="dxa"/>
          <w:bottom w:w="0" w:type="dxa"/>
          <w:right w:w="108" w:type="dxa"/>
        </w:tblCellMar>
      </w:tblPr>
      <w:tblGrid>
        <w:gridCol w:w="699"/>
        <w:gridCol w:w="2884"/>
        <w:gridCol w:w="3323"/>
        <w:gridCol w:w="1523"/>
        <w:gridCol w:w="1208"/>
      </w:tblGrid>
      <w:tr w14:paraId="33612D16">
        <w:tblPrEx>
          <w:tblCellMar>
            <w:top w:w="0" w:type="dxa"/>
            <w:left w:w="108" w:type="dxa"/>
            <w:bottom w:w="0" w:type="dxa"/>
            <w:right w:w="108" w:type="dxa"/>
          </w:tblCellMar>
        </w:tblPrEx>
        <w:trPr>
          <w:trHeight w:val="840" w:hRule="atLeast"/>
        </w:trPr>
        <w:tc>
          <w:tcPr>
            <w:tcW w:w="699" w:type="dxa"/>
            <w:tcBorders>
              <w:top w:val="single" w:color="000000" w:sz="4" w:space="0"/>
              <w:left w:val="single" w:color="000000" w:sz="4" w:space="0"/>
              <w:bottom w:val="single" w:color="000000" w:sz="4" w:space="0"/>
              <w:right w:val="single" w:color="000000" w:sz="4" w:space="0"/>
            </w:tcBorders>
            <w:vAlign w:val="center"/>
          </w:tcPr>
          <w:p w14:paraId="118B32F2">
            <w:pPr>
              <w:widowControl/>
              <w:jc w:val="center"/>
              <w:textAlignment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序号</w:t>
            </w:r>
          </w:p>
        </w:tc>
        <w:tc>
          <w:tcPr>
            <w:tcW w:w="2884" w:type="dxa"/>
            <w:tcBorders>
              <w:top w:val="single" w:color="000000" w:sz="4" w:space="0"/>
              <w:left w:val="single" w:color="000000" w:sz="4" w:space="0"/>
              <w:bottom w:val="single" w:color="000000" w:sz="4" w:space="0"/>
              <w:right w:val="single" w:color="000000" w:sz="4" w:space="0"/>
            </w:tcBorders>
            <w:vAlign w:val="center"/>
          </w:tcPr>
          <w:p w14:paraId="27032EB7">
            <w:pPr>
              <w:widowControl/>
              <w:jc w:val="center"/>
              <w:textAlignment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项目名称</w:t>
            </w:r>
          </w:p>
        </w:tc>
        <w:tc>
          <w:tcPr>
            <w:tcW w:w="4846" w:type="dxa"/>
            <w:gridSpan w:val="2"/>
            <w:tcBorders>
              <w:top w:val="single" w:color="000000" w:sz="4" w:space="0"/>
              <w:left w:val="single" w:color="000000" w:sz="4" w:space="0"/>
              <w:bottom w:val="single" w:color="000000" w:sz="4" w:space="0"/>
              <w:right w:val="single" w:color="000000" w:sz="4" w:space="0"/>
            </w:tcBorders>
            <w:vAlign w:val="center"/>
          </w:tcPr>
          <w:p w14:paraId="6FD06FCA">
            <w:pPr>
              <w:widowControl/>
              <w:jc w:val="center"/>
              <w:textAlignment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报价（不含税）</w:t>
            </w:r>
          </w:p>
        </w:tc>
        <w:tc>
          <w:tcPr>
            <w:tcW w:w="1208" w:type="dxa"/>
            <w:tcBorders>
              <w:top w:val="single" w:color="000000" w:sz="4" w:space="0"/>
              <w:left w:val="single" w:color="000000" w:sz="4" w:space="0"/>
              <w:bottom w:val="single" w:color="000000" w:sz="4" w:space="0"/>
              <w:right w:val="single" w:color="000000" w:sz="4" w:space="0"/>
            </w:tcBorders>
            <w:vAlign w:val="center"/>
          </w:tcPr>
          <w:p w14:paraId="67DE7558">
            <w:pPr>
              <w:widowControl/>
              <w:jc w:val="center"/>
              <w:textAlignment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备注</w:t>
            </w:r>
          </w:p>
        </w:tc>
      </w:tr>
      <w:tr w14:paraId="78EC2E30">
        <w:tblPrEx>
          <w:tblCellMar>
            <w:top w:w="0" w:type="dxa"/>
            <w:left w:w="108" w:type="dxa"/>
            <w:bottom w:w="0" w:type="dxa"/>
            <w:right w:w="108" w:type="dxa"/>
          </w:tblCellMar>
        </w:tblPrEx>
        <w:trPr>
          <w:trHeight w:val="280" w:hRule="atLeast"/>
        </w:trPr>
        <w:tc>
          <w:tcPr>
            <w:tcW w:w="699" w:type="dxa"/>
            <w:tcBorders>
              <w:top w:val="single" w:color="000000" w:sz="4" w:space="0"/>
              <w:left w:val="single" w:color="000000" w:sz="4" w:space="0"/>
              <w:bottom w:val="single" w:color="000000" w:sz="4" w:space="0"/>
              <w:right w:val="single" w:color="000000" w:sz="4" w:space="0"/>
            </w:tcBorders>
            <w:vAlign w:val="center"/>
          </w:tcPr>
          <w:p w14:paraId="40262D69">
            <w:pPr>
              <w:widowControl/>
              <w:jc w:val="center"/>
              <w:textAlignment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w:t>
            </w:r>
          </w:p>
        </w:tc>
        <w:tc>
          <w:tcPr>
            <w:tcW w:w="2884" w:type="dxa"/>
            <w:tcBorders>
              <w:top w:val="single" w:color="000000" w:sz="4" w:space="0"/>
              <w:left w:val="single" w:color="000000" w:sz="4" w:space="0"/>
              <w:bottom w:val="single" w:color="000000" w:sz="4" w:space="0"/>
              <w:right w:val="single" w:color="000000" w:sz="4" w:space="0"/>
            </w:tcBorders>
            <w:vAlign w:val="center"/>
          </w:tcPr>
          <w:p w14:paraId="72006C13">
            <w:pPr>
              <w:widowControl/>
              <w:jc w:val="center"/>
              <w:textAlignment w:val="center"/>
              <w:rPr>
                <w:rFonts w:hint="eastAsia" w:ascii="仿宋_GB2312" w:hAnsi="仿宋_GB2312" w:eastAsia="仿宋_GB2312" w:cs="仿宋_GB2312"/>
                <w:kern w:val="0"/>
                <w:sz w:val="24"/>
                <w:highlight w:val="none"/>
              </w:rPr>
            </w:pPr>
          </w:p>
        </w:tc>
        <w:tc>
          <w:tcPr>
            <w:tcW w:w="4846" w:type="dxa"/>
            <w:gridSpan w:val="2"/>
            <w:tcBorders>
              <w:top w:val="single" w:color="000000" w:sz="4" w:space="0"/>
              <w:left w:val="single" w:color="000000" w:sz="4" w:space="0"/>
              <w:bottom w:val="single" w:color="000000" w:sz="4" w:space="0"/>
              <w:right w:val="single" w:color="000000" w:sz="4" w:space="0"/>
            </w:tcBorders>
            <w:vAlign w:val="center"/>
          </w:tcPr>
          <w:p w14:paraId="4CBAD9D0">
            <w:pPr>
              <w:jc w:val="center"/>
              <w:rPr>
                <w:rFonts w:hint="eastAsia" w:ascii="仿宋_GB2312" w:hAnsi="仿宋_GB2312" w:eastAsia="仿宋_GB2312" w:cs="仿宋_GB2312"/>
                <w:kern w:val="0"/>
                <w:sz w:val="24"/>
                <w:highlight w:val="none"/>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3C9CDCF1">
            <w:pPr>
              <w:jc w:val="center"/>
              <w:rPr>
                <w:rFonts w:hint="eastAsia" w:ascii="仿宋_GB2312" w:hAnsi="仿宋_GB2312" w:eastAsia="仿宋_GB2312" w:cs="仿宋_GB2312"/>
                <w:kern w:val="0"/>
                <w:sz w:val="24"/>
                <w:highlight w:val="none"/>
              </w:rPr>
            </w:pPr>
          </w:p>
        </w:tc>
      </w:tr>
      <w:tr w14:paraId="49131CDC">
        <w:tblPrEx>
          <w:tblCellMar>
            <w:top w:w="0" w:type="dxa"/>
            <w:left w:w="108" w:type="dxa"/>
            <w:bottom w:w="0" w:type="dxa"/>
            <w:right w:w="108" w:type="dxa"/>
          </w:tblCellMar>
        </w:tblPrEx>
        <w:trPr>
          <w:trHeight w:val="280" w:hRule="atLeast"/>
        </w:trPr>
        <w:tc>
          <w:tcPr>
            <w:tcW w:w="699" w:type="dxa"/>
            <w:tcBorders>
              <w:top w:val="single" w:color="000000" w:sz="4" w:space="0"/>
              <w:left w:val="single" w:color="000000" w:sz="4" w:space="0"/>
              <w:bottom w:val="single" w:color="000000" w:sz="4" w:space="0"/>
              <w:right w:val="single" w:color="000000" w:sz="4" w:space="0"/>
            </w:tcBorders>
            <w:vAlign w:val="center"/>
          </w:tcPr>
          <w:p w14:paraId="6179CF44">
            <w:pPr>
              <w:widowControl/>
              <w:jc w:val="center"/>
              <w:textAlignment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w:t>
            </w:r>
          </w:p>
        </w:tc>
        <w:tc>
          <w:tcPr>
            <w:tcW w:w="6207" w:type="dxa"/>
            <w:gridSpan w:val="2"/>
            <w:tcBorders>
              <w:top w:val="single" w:color="000000" w:sz="4" w:space="0"/>
              <w:left w:val="single" w:color="000000" w:sz="4" w:space="0"/>
              <w:bottom w:val="single" w:color="000000" w:sz="4" w:space="0"/>
              <w:right w:val="single" w:color="000000" w:sz="4" w:space="0"/>
            </w:tcBorders>
            <w:vAlign w:val="center"/>
          </w:tcPr>
          <w:p w14:paraId="78B13138">
            <w:pPr>
              <w:widowControl/>
              <w:jc w:val="center"/>
              <w:textAlignment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不含税金额合计（元）</w:t>
            </w:r>
          </w:p>
        </w:tc>
        <w:tc>
          <w:tcPr>
            <w:tcW w:w="1523" w:type="dxa"/>
            <w:tcBorders>
              <w:top w:val="single" w:color="000000" w:sz="4" w:space="0"/>
              <w:left w:val="single" w:color="000000" w:sz="4" w:space="0"/>
              <w:bottom w:val="single" w:color="000000" w:sz="4" w:space="0"/>
              <w:right w:val="single" w:color="000000" w:sz="4" w:space="0"/>
            </w:tcBorders>
            <w:vAlign w:val="center"/>
          </w:tcPr>
          <w:p w14:paraId="3E4A79D9">
            <w:pPr>
              <w:jc w:val="center"/>
              <w:rPr>
                <w:rFonts w:hint="eastAsia" w:ascii="仿宋_GB2312" w:hAnsi="仿宋_GB2312" w:eastAsia="仿宋_GB2312" w:cs="仿宋_GB2312"/>
                <w:kern w:val="0"/>
                <w:sz w:val="24"/>
                <w:highlight w:val="none"/>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33FFE64F">
            <w:pPr>
              <w:jc w:val="center"/>
              <w:rPr>
                <w:rFonts w:hint="eastAsia" w:ascii="仿宋_GB2312" w:hAnsi="仿宋_GB2312" w:eastAsia="仿宋_GB2312" w:cs="仿宋_GB2312"/>
                <w:kern w:val="0"/>
                <w:sz w:val="24"/>
                <w:highlight w:val="none"/>
              </w:rPr>
            </w:pPr>
          </w:p>
        </w:tc>
      </w:tr>
      <w:tr w14:paraId="2FD4B61A">
        <w:tblPrEx>
          <w:tblCellMar>
            <w:top w:w="0" w:type="dxa"/>
            <w:left w:w="108" w:type="dxa"/>
            <w:bottom w:w="0" w:type="dxa"/>
            <w:right w:w="108" w:type="dxa"/>
          </w:tblCellMar>
        </w:tblPrEx>
        <w:trPr>
          <w:trHeight w:val="280" w:hRule="atLeast"/>
        </w:trPr>
        <w:tc>
          <w:tcPr>
            <w:tcW w:w="699" w:type="dxa"/>
            <w:tcBorders>
              <w:top w:val="single" w:color="000000" w:sz="4" w:space="0"/>
              <w:left w:val="single" w:color="000000" w:sz="4" w:space="0"/>
              <w:bottom w:val="single" w:color="000000" w:sz="4" w:space="0"/>
              <w:right w:val="single" w:color="000000" w:sz="4" w:space="0"/>
            </w:tcBorders>
            <w:vAlign w:val="center"/>
          </w:tcPr>
          <w:p w14:paraId="60A1FDBE">
            <w:pPr>
              <w:widowControl/>
              <w:jc w:val="center"/>
              <w:textAlignment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w:t>
            </w:r>
          </w:p>
        </w:tc>
        <w:tc>
          <w:tcPr>
            <w:tcW w:w="6207" w:type="dxa"/>
            <w:gridSpan w:val="2"/>
            <w:tcBorders>
              <w:top w:val="single" w:color="000000" w:sz="4" w:space="0"/>
              <w:left w:val="single" w:color="000000" w:sz="4" w:space="0"/>
              <w:bottom w:val="single" w:color="000000" w:sz="4" w:space="0"/>
              <w:right w:val="single" w:color="000000" w:sz="4" w:space="0"/>
            </w:tcBorders>
            <w:vAlign w:val="center"/>
          </w:tcPr>
          <w:p w14:paraId="0EF64209">
            <w:pPr>
              <w:widowControl/>
              <w:jc w:val="center"/>
              <w:textAlignment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税金（6%）</w:t>
            </w:r>
          </w:p>
        </w:tc>
        <w:tc>
          <w:tcPr>
            <w:tcW w:w="1523" w:type="dxa"/>
            <w:tcBorders>
              <w:top w:val="single" w:color="000000" w:sz="4" w:space="0"/>
              <w:left w:val="single" w:color="000000" w:sz="4" w:space="0"/>
              <w:bottom w:val="single" w:color="000000" w:sz="4" w:space="0"/>
              <w:right w:val="single" w:color="000000" w:sz="4" w:space="0"/>
            </w:tcBorders>
            <w:vAlign w:val="center"/>
          </w:tcPr>
          <w:p w14:paraId="1779DFCE">
            <w:pPr>
              <w:jc w:val="center"/>
              <w:rPr>
                <w:rFonts w:hint="eastAsia" w:ascii="仿宋_GB2312" w:hAnsi="仿宋_GB2312" w:eastAsia="仿宋_GB2312" w:cs="仿宋_GB2312"/>
                <w:kern w:val="0"/>
                <w:sz w:val="24"/>
                <w:highlight w:val="none"/>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772FBDC7">
            <w:pPr>
              <w:widowControl/>
              <w:jc w:val="center"/>
              <w:textAlignment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w:t>
            </w:r>
            <w:r>
              <w:rPr>
                <w:rFonts w:ascii="仿宋_GB2312" w:hAnsi="仿宋_GB2312" w:eastAsia="仿宋_GB2312" w:cs="仿宋_GB2312"/>
                <w:kern w:val="0"/>
                <w:sz w:val="24"/>
                <w:highlight w:val="none"/>
              </w:rPr>
              <w:t>2</w:t>
            </w:r>
            <w:r>
              <w:rPr>
                <w:rFonts w:hint="eastAsia" w:ascii="仿宋_GB2312" w:hAnsi="仿宋_GB2312" w:eastAsia="仿宋_GB2312" w:cs="仿宋_GB2312"/>
                <w:kern w:val="0"/>
                <w:sz w:val="24"/>
                <w:highlight w:val="none"/>
              </w:rPr>
              <w:t>)*6%</w:t>
            </w:r>
          </w:p>
        </w:tc>
      </w:tr>
      <w:tr w14:paraId="222B0600">
        <w:tblPrEx>
          <w:tblCellMar>
            <w:top w:w="0" w:type="dxa"/>
            <w:left w:w="108" w:type="dxa"/>
            <w:bottom w:w="0" w:type="dxa"/>
            <w:right w:w="108" w:type="dxa"/>
          </w:tblCellMar>
        </w:tblPrEx>
        <w:trPr>
          <w:trHeight w:val="280" w:hRule="atLeast"/>
        </w:trPr>
        <w:tc>
          <w:tcPr>
            <w:tcW w:w="699" w:type="dxa"/>
            <w:tcBorders>
              <w:top w:val="single" w:color="000000" w:sz="4" w:space="0"/>
              <w:left w:val="single" w:color="000000" w:sz="4" w:space="0"/>
              <w:bottom w:val="single" w:color="000000" w:sz="4" w:space="0"/>
              <w:right w:val="single" w:color="000000" w:sz="4" w:space="0"/>
            </w:tcBorders>
            <w:vAlign w:val="center"/>
          </w:tcPr>
          <w:p w14:paraId="4DD692D4">
            <w:pPr>
              <w:widowControl/>
              <w:jc w:val="center"/>
              <w:textAlignment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w:t>
            </w:r>
          </w:p>
        </w:tc>
        <w:tc>
          <w:tcPr>
            <w:tcW w:w="6207" w:type="dxa"/>
            <w:gridSpan w:val="2"/>
            <w:tcBorders>
              <w:top w:val="single" w:color="000000" w:sz="4" w:space="0"/>
              <w:left w:val="single" w:color="000000" w:sz="4" w:space="0"/>
              <w:bottom w:val="single" w:color="000000" w:sz="4" w:space="0"/>
              <w:right w:val="single" w:color="000000" w:sz="4" w:space="0"/>
            </w:tcBorders>
            <w:vAlign w:val="center"/>
          </w:tcPr>
          <w:p w14:paraId="6055C50C">
            <w:pPr>
              <w:widowControl/>
              <w:jc w:val="center"/>
              <w:textAlignment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含税金额合计（元）</w:t>
            </w:r>
          </w:p>
        </w:tc>
        <w:tc>
          <w:tcPr>
            <w:tcW w:w="1523" w:type="dxa"/>
            <w:tcBorders>
              <w:top w:val="single" w:color="000000" w:sz="4" w:space="0"/>
              <w:left w:val="single" w:color="000000" w:sz="4" w:space="0"/>
              <w:bottom w:val="single" w:color="000000" w:sz="4" w:space="0"/>
              <w:right w:val="single" w:color="000000" w:sz="4" w:space="0"/>
            </w:tcBorders>
            <w:vAlign w:val="center"/>
          </w:tcPr>
          <w:p w14:paraId="516E3EE5">
            <w:pPr>
              <w:jc w:val="center"/>
              <w:rPr>
                <w:rFonts w:hint="eastAsia" w:ascii="仿宋_GB2312" w:hAnsi="仿宋_GB2312" w:eastAsia="仿宋_GB2312" w:cs="仿宋_GB2312"/>
                <w:kern w:val="0"/>
                <w:sz w:val="24"/>
                <w:highlight w:val="none"/>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46F580FE">
            <w:pPr>
              <w:widowControl/>
              <w:jc w:val="center"/>
              <w:textAlignment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w:t>
            </w:r>
            <w:r>
              <w:rPr>
                <w:rFonts w:ascii="仿宋_GB2312" w:hAnsi="仿宋_GB2312" w:eastAsia="仿宋_GB2312" w:cs="仿宋_GB2312"/>
                <w:kern w:val="0"/>
                <w:sz w:val="24"/>
                <w:highlight w:val="none"/>
              </w:rPr>
              <w:t>2</w:t>
            </w:r>
            <w:r>
              <w:rPr>
                <w:rFonts w:hint="eastAsia" w:ascii="仿宋_GB2312" w:hAnsi="仿宋_GB2312" w:eastAsia="仿宋_GB2312" w:cs="仿宋_GB2312"/>
                <w:kern w:val="0"/>
                <w:sz w:val="24"/>
                <w:highlight w:val="none"/>
              </w:rPr>
              <w:t>)+(</w:t>
            </w:r>
            <w:r>
              <w:rPr>
                <w:rFonts w:ascii="仿宋_GB2312" w:hAnsi="仿宋_GB2312" w:eastAsia="仿宋_GB2312" w:cs="仿宋_GB2312"/>
                <w:kern w:val="0"/>
                <w:sz w:val="24"/>
                <w:highlight w:val="none"/>
              </w:rPr>
              <w:t>3</w:t>
            </w:r>
            <w:r>
              <w:rPr>
                <w:rFonts w:hint="eastAsia" w:ascii="仿宋_GB2312" w:hAnsi="仿宋_GB2312" w:eastAsia="仿宋_GB2312" w:cs="仿宋_GB2312"/>
                <w:kern w:val="0"/>
                <w:sz w:val="24"/>
                <w:highlight w:val="none"/>
              </w:rPr>
              <w:t>)</w:t>
            </w:r>
          </w:p>
        </w:tc>
      </w:tr>
    </w:tbl>
    <w:p w14:paraId="783E8E5D">
      <w:pPr>
        <w:pStyle w:val="16"/>
        <w:rPr>
          <w:rFonts w:hint="eastAsia" w:ascii="仿宋_GB2312" w:hAnsi="仿宋_GB2312" w:eastAsia="仿宋_GB2312" w:cs="仿宋_GB2312"/>
          <w:kern w:val="0"/>
          <w:szCs w:val="22"/>
          <w:highlight w:val="none"/>
          <w:lang w:val="zh-CN"/>
        </w:rPr>
      </w:pPr>
    </w:p>
    <w:p w14:paraId="4540391C">
      <w:pPr>
        <w:pStyle w:val="16"/>
        <w:rPr>
          <w:rFonts w:hint="eastAsia" w:ascii="仿宋_GB2312" w:hAnsi="仿宋_GB2312" w:eastAsia="仿宋_GB2312" w:cs="仿宋_GB2312"/>
          <w:kern w:val="0"/>
          <w:szCs w:val="22"/>
          <w:highlight w:val="none"/>
          <w:lang w:val="zh-CN"/>
        </w:rPr>
      </w:pPr>
    </w:p>
    <w:p w14:paraId="37EA095A">
      <w:pPr>
        <w:pStyle w:val="16"/>
        <w:rPr>
          <w:rFonts w:hint="eastAsia" w:ascii="仿宋_GB2312" w:hAnsi="仿宋_GB2312" w:eastAsia="仿宋_GB2312" w:cs="仿宋_GB2312"/>
          <w:kern w:val="0"/>
          <w:szCs w:val="22"/>
          <w:highlight w:val="none"/>
          <w:lang w:val="zh-CN"/>
        </w:rPr>
      </w:pPr>
    </w:p>
    <w:p w14:paraId="50559A1C">
      <w:pPr>
        <w:pStyle w:val="16"/>
        <w:rPr>
          <w:rFonts w:hint="eastAsia" w:ascii="仿宋_GB2312" w:hAnsi="仿宋_GB2312" w:eastAsia="仿宋_GB2312" w:cs="仿宋_GB2312"/>
          <w:kern w:val="0"/>
          <w:szCs w:val="22"/>
          <w:highlight w:val="none"/>
          <w:lang w:val="zh-CN"/>
        </w:rPr>
      </w:pPr>
    </w:p>
    <w:p w14:paraId="1D24CD12">
      <w:pPr>
        <w:pStyle w:val="16"/>
        <w:rPr>
          <w:rFonts w:hint="eastAsia" w:ascii="仿宋_GB2312" w:hAnsi="仿宋_GB2312" w:eastAsia="仿宋_GB2312" w:cs="仿宋_GB2312"/>
          <w:kern w:val="0"/>
          <w:szCs w:val="22"/>
          <w:highlight w:val="none"/>
          <w:lang w:val="zh-CN"/>
        </w:rPr>
      </w:pPr>
      <w:r>
        <w:rPr>
          <w:rFonts w:hint="eastAsia" w:ascii="仿宋_GB2312" w:hAnsi="仿宋_GB2312" w:eastAsia="仿宋_GB2312" w:cs="仿宋_GB2312"/>
          <w:kern w:val="0"/>
          <w:szCs w:val="22"/>
          <w:highlight w:val="none"/>
          <w:lang w:val="zh-CN"/>
        </w:rPr>
        <w:t>投标人（盖公章）：</w:t>
      </w:r>
    </w:p>
    <w:p w14:paraId="3E8F198B">
      <w:pPr>
        <w:pStyle w:val="16"/>
        <w:rPr>
          <w:rFonts w:hint="eastAsia" w:ascii="仿宋_GB2312" w:hAnsi="仿宋_GB2312" w:eastAsia="仿宋_GB2312" w:cs="仿宋_GB2312"/>
          <w:kern w:val="0"/>
          <w:szCs w:val="22"/>
          <w:highlight w:val="none"/>
          <w:lang w:val="zh-CN"/>
        </w:rPr>
      </w:pPr>
    </w:p>
    <w:p w14:paraId="0237D431">
      <w:pPr>
        <w:pStyle w:val="16"/>
        <w:rPr>
          <w:rFonts w:hint="eastAsia" w:ascii="仿宋_GB2312" w:hAnsi="仿宋_GB2312" w:eastAsia="仿宋_GB2312" w:cs="仿宋_GB2312"/>
          <w:kern w:val="0"/>
          <w:szCs w:val="22"/>
          <w:highlight w:val="none"/>
          <w:lang w:val="zh-CN"/>
        </w:rPr>
      </w:pPr>
      <w:r>
        <w:rPr>
          <w:rFonts w:hint="eastAsia" w:ascii="仿宋_GB2312" w:hAnsi="仿宋_GB2312" w:eastAsia="仿宋_GB2312" w:cs="仿宋_GB2312"/>
          <w:kern w:val="0"/>
          <w:szCs w:val="22"/>
          <w:highlight w:val="none"/>
          <w:lang w:val="zh-CN"/>
        </w:rPr>
        <w:t>投标人法定代表人或者被授权代表：（签字）</w:t>
      </w:r>
    </w:p>
    <w:p w14:paraId="0918DC3B">
      <w:pPr>
        <w:pStyle w:val="16"/>
        <w:rPr>
          <w:rFonts w:hint="eastAsia" w:ascii="仿宋_GB2312" w:hAnsi="仿宋_GB2312" w:eastAsia="仿宋_GB2312" w:cs="仿宋_GB2312"/>
          <w:kern w:val="0"/>
          <w:szCs w:val="22"/>
          <w:highlight w:val="none"/>
          <w:lang w:val="zh-CN"/>
        </w:rPr>
      </w:pPr>
    </w:p>
    <w:p w14:paraId="023D98BD">
      <w:pPr>
        <w:autoSpaceDE w:val="0"/>
        <w:autoSpaceDN w:val="0"/>
        <w:adjustRightInd w:val="0"/>
        <w:spacing w:line="360" w:lineRule="auto"/>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时间：</w:t>
      </w:r>
      <w:r>
        <w:rPr>
          <w:rFonts w:hint="eastAsia" w:ascii="仿宋_GB2312" w:hAnsi="仿宋_GB2312" w:eastAsia="仿宋_GB2312" w:cs="仿宋_GB2312"/>
          <w:sz w:val="24"/>
          <w:szCs w:val="24"/>
          <w:highlight w:val="none"/>
          <w:u w:val="single"/>
          <w:lang w:val="zh-CN"/>
        </w:rPr>
        <w:t xml:space="preserve">        </w:t>
      </w:r>
      <w:r>
        <w:rPr>
          <w:rFonts w:hint="eastAsia" w:ascii="仿宋_GB2312" w:hAnsi="仿宋_GB2312" w:eastAsia="仿宋_GB2312" w:cs="仿宋_GB2312"/>
          <w:sz w:val="24"/>
          <w:szCs w:val="24"/>
          <w:highlight w:val="none"/>
          <w:lang w:val="zh-CN"/>
        </w:rPr>
        <w:t>年</w:t>
      </w:r>
      <w:r>
        <w:rPr>
          <w:rFonts w:hint="eastAsia" w:ascii="仿宋_GB2312" w:hAnsi="仿宋_GB2312" w:eastAsia="仿宋_GB2312" w:cs="仿宋_GB2312"/>
          <w:sz w:val="24"/>
          <w:szCs w:val="24"/>
          <w:highlight w:val="none"/>
          <w:u w:val="single"/>
          <w:lang w:val="zh-CN"/>
        </w:rPr>
        <w:t xml:space="preserve">     </w:t>
      </w:r>
      <w:r>
        <w:rPr>
          <w:rFonts w:hint="eastAsia" w:ascii="仿宋_GB2312" w:hAnsi="仿宋_GB2312" w:eastAsia="仿宋_GB2312" w:cs="仿宋_GB2312"/>
          <w:sz w:val="24"/>
          <w:szCs w:val="24"/>
          <w:highlight w:val="none"/>
          <w:lang w:val="zh-CN"/>
        </w:rPr>
        <w:t xml:space="preserve"> 月</w:t>
      </w:r>
      <w:r>
        <w:rPr>
          <w:rFonts w:hint="eastAsia" w:ascii="仿宋_GB2312" w:hAnsi="仿宋_GB2312" w:eastAsia="仿宋_GB2312" w:cs="仿宋_GB2312"/>
          <w:sz w:val="24"/>
          <w:szCs w:val="24"/>
          <w:highlight w:val="none"/>
          <w:u w:val="single"/>
          <w:lang w:val="zh-CN"/>
        </w:rPr>
        <w:t xml:space="preserve">   </w:t>
      </w:r>
      <w:r>
        <w:rPr>
          <w:rFonts w:hint="eastAsia" w:ascii="仿宋_GB2312" w:hAnsi="仿宋_GB2312" w:eastAsia="仿宋_GB2312" w:cs="仿宋_GB2312"/>
          <w:sz w:val="24"/>
          <w:szCs w:val="24"/>
          <w:highlight w:val="none"/>
          <w:lang w:val="zh-CN"/>
        </w:rPr>
        <w:t>日</w:t>
      </w:r>
    </w:p>
    <w:p w14:paraId="1160093B">
      <w:pPr>
        <w:rPr>
          <w:rFonts w:hint="eastAsia" w:ascii="仿宋_GB2312" w:hAnsi="仿宋_GB2312" w:eastAsia="仿宋_GB2312" w:cs="仿宋_GB2312"/>
          <w:highlight w:val="none"/>
          <w:lang w:val="zh-CN"/>
        </w:rPr>
      </w:pPr>
    </w:p>
    <w:p w14:paraId="4EA851DD">
      <w:pPr>
        <w:rPr>
          <w:rFonts w:hint="eastAsia" w:ascii="仿宋_GB2312" w:hAnsi="仿宋_GB2312" w:eastAsia="仿宋_GB2312" w:cs="仿宋_GB2312"/>
          <w:highlight w:val="none"/>
          <w:lang w:val="zh-CN"/>
        </w:rPr>
      </w:pPr>
    </w:p>
    <w:p w14:paraId="26261A40">
      <w:pPr>
        <w:pStyle w:val="2"/>
        <w:rPr>
          <w:rFonts w:hint="eastAsia" w:ascii="仿宋_GB2312" w:hAnsi="仿宋_GB2312" w:eastAsia="仿宋_GB2312" w:cs="仿宋_GB2312"/>
          <w:highlight w:val="none"/>
          <w:lang w:val="zh-CN"/>
        </w:rPr>
      </w:pPr>
    </w:p>
    <w:p w14:paraId="0E582D88">
      <w:pPr>
        <w:rPr>
          <w:rFonts w:hint="eastAsia" w:ascii="仿宋_GB2312" w:hAnsi="仿宋_GB2312" w:eastAsia="仿宋_GB2312" w:cs="仿宋_GB2312"/>
          <w:highlight w:val="none"/>
          <w:lang w:val="zh-CN"/>
        </w:rPr>
      </w:pPr>
    </w:p>
    <w:p w14:paraId="46C392EB">
      <w:pPr>
        <w:pStyle w:val="2"/>
        <w:rPr>
          <w:rFonts w:hint="eastAsia" w:ascii="仿宋_GB2312" w:hAnsi="仿宋_GB2312" w:eastAsia="仿宋_GB2312" w:cs="仿宋_GB2312"/>
          <w:highlight w:val="none"/>
          <w:lang w:val="zh-CN"/>
        </w:rPr>
      </w:pPr>
    </w:p>
    <w:p w14:paraId="066486FE">
      <w:pPr>
        <w:rPr>
          <w:rFonts w:hint="eastAsia" w:ascii="仿宋_GB2312" w:hAnsi="仿宋_GB2312" w:eastAsia="仿宋_GB2312" w:cs="仿宋_GB2312"/>
          <w:highlight w:val="none"/>
          <w:lang w:val="zh-CN"/>
        </w:rPr>
      </w:pPr>
    </w:p>
    <w:p w14:paraId="348919B8">
      <w:pPr>
        <w:pStyle w:val="2"/>
        <w:rPr>
          <w:rFonts w:hint="eastAsia" w:ascii="仿宋_GB2312" w:hAnsi="仿宋_GB2312" w:eastAsia="仿宋_GB2312" w:cs="仿宋_GB2312"/>
          <w:highlight w:val="none"/>
          <w:lang w:val="zh-CN"/>
        </w:rPr>
      </w:pPr>
    </w:p>
    <w:p w14:paraId="2788E548">
      <w:pPr>
        <w:rPr>
          <w:highlight w:val="none"/>
          <w:lang w:val="zh-CN"/>
        </w:rPr>
      </w:pPr>
    </w:p>
    <w:p w14:paraId="08835244">
      <w:pPr>
        <w:pStyle w:val="8"/>
        <w:ind w:firstLine="480"/>
        <w:rPr>
          <w:rFonts w:hint="eastAsia" w:eastAsia="仿宋_GB2312"/>
          <w:highlight w:val="none"/>
          <w:lang w:val="zh-CN"/>
        </w:rPr>
      </w:pPr>
    </w:p>
    <w:p w14:paraId="1D3CCCAB">
      <w:pPr>
        <w:rPr>
          <w:rFonts w:hint="eastAsia" w:ascii="仿宋_GB2312" w:hAnsi="仿宋_GB2312" w:eastAsia="仿宋_GB2312" w:cs="仿宋_GB2312"/>
          <w:highlight w:val="none"/>
          <w:lang w:val="zh-CN"/>
        </w:rPr>
      </w:pPr>
    </w:p>
    <w:p w14:paraId="46B5C247">
      <w:pPr>
        <w:pStyle w:val="2"/>
        <w:rPr>
          <w:rFonts w:hint="eastAsia" w:ascii="仿宋_GB2312" w:hAnsi="仿宋_GB2312" w:eastAsia="仿宋_GB2312" w:cs="仿宋_GB2312"/>
          <w:highlight w:val="none"/>
          <w:lang w:val="zh-CN"/>
        </w:rPr>
      </w:pPr>
    </w:p>
    <w:p w14:paraId="375B898E">
      <w:pPr>
        <w:rPr>
          <w:rFonts w:hint="eastAsia" w:ascii="仿宋_GB2312" w:hAnsi="仿宋_GB2312" w:eastAsia="仿宋_GB2312" w:cs="仿宋_GB2312"/>
          <w:highlight w:val="none"/>
          <w:lang w:val="zh-CN"/>
        </w:rPr>
      </w:pPr>
    </w:p>
    <w:p w14:paraId="6E044001">
      <w:pPr>
        <w:pStyle w:val="2"/>
        <w:rPr>
          <w:rFonts w:hint="eastAsia" w:ascii="仿宋_GB2312" w:hAnsi="仿宋_GB2312" w:eastAsia="仿宋_GB2312" w:cs="仿宋_GB2312"/>
          <w:highlight w:val="none"/>
          <w:lang w:val="zh-CN"/>
        </w:rPr>
      </w:pPr>
    </w:p>
    <w:p w14:paraId="6169F24A">
      <w:pPr>
        <w:pStyle w:val="17"/>
        <w:jc w:val="both"/>
        <w:rPr>
          <w:rStyle w:val="15"/>
          <w:rFonts w:hint="eastAsia" w:ascii="仿宋_GB2312" w:hAnsi="仿宋_GB2312" w:eastAsia="仿宋_GB2312" w:cs="仿宋_GB2312"/>
          <w:sz w:val="24"/>
          <w:szCs w:val="24"/>
          <w:highlight w:val="none"/>
        </w:rPr>
      </w:pPr>
      <w:r>
        <w:rPr>
          <w:rStyle w:val="15"/>
          <w:rFonts w:hint="eastAsia" w:ascii="仿宋_GB2312" w:hAnsi="仿宋_GB2312" w:eastAsia="仿宋_GB2312" w:cs="仿宋_GB2312"/>
          <w:sz w:val="24"/>
          <w:szCs w:val="24"/>
          <w:highlight w:val="none"/>
        </w:rPr>
        <w:t>附件3：</w:t>
      </w:r>
    </w:p>
    <w:p w14:paraId="5D7DC675">
      <w:pPr>
        <w:widowControl/>
        <w:autoSpaceDE w:val="0"/>
        <w:autoSpaceDN w:val="0"/>
        <w:adjustRightInd w:val="0"/>
        <w:spacing w:before="120" w:after="120" w:line="300" w:lineRule="auto"/>
        <w:ind w:right="-481"/>
        <w:jc w:val="center"/>
        <w:rPr>
          <w:rFonts w:hint="eastAsia" w:ascii="仿宋_GB2312" w:hAnsi="仿宋_GB2312" w:eastAsia="仿宋_GB2312" w:cs="仿宋_GB2312"/>
          <w:kern w:val="1"/>
          <w:sz w:val="28"/>
          <w:szCs w:val="28"/>
          <w:highlight w:val="none"/>
        </w:rPr>
      </w:pPr>
      <w:r>
        <w:rPr>
          <w:rFonts w:hint="eastAsia" w:ascii="仿宋_GB2312" w:hAnsi="仿宋_GB2312" w:eastAsia="仿宋_GB2312" w:cs="仿宋_GB2312"/>
          <w:kern w:val="1"/>
          <w:sz w:val="28"/>
          <w:szCs w:val="28"/>
          <w:highlight w:val="none"/>
        </w:rPr>
        <w:t>报价函</w:t>
      </w:r>
    </w:p>
    <w:p w14:paraId="1DA02C44">
      <w:pPr>
        <w:widowControl/>
        <w:autoSpaceDE w:val="0"/>
        <w:autoSpaceDN w:val="0"/>
        <w:adjustRightInd w:val="0"/>
        <w:spacing w:line="380" w:lineRule="exact"/>
        <w:ind w:right="-481"/>
        <w:rPr>
          <w:rFonts w:hint="eastAsia" w:ascii="仿宋_GB2312" w:hAnsi="仿宋_GB2312" w:eastAsia="仿宋_GB2312" w:cs="仿宋_GB2312"/>
          <w:kern w:val="1"/>
          <w:sz w:val="24"/>
          <w:szCs w:val="24"/>
          <w:highlight w:val="none"/>
          <w:u w:val="single"/>
        </w:rPr>
      </w:pPr>
    </w:p>
    <w:p w14:paraId="390144CF">
      <w:pPr>
        <w:widowControl/>
        <w:autoSpaceDE w:val="0"/>
        <w:autoSpaceDN w:val="0"/>
        <w:adjustRightInd w:val="0"/>
        <w:spacing w:line="380" w:lineRule="exact"/>
        <w:rPr>
          <w:rFonts w:hint="eastAsia" w:ascii="仿宋_GB2312" w:hAnsi="仿宋_GB2312" w:eastAsia="仿宋_GB2312" w:cs="仿宋_GB2312"/>
          <w:kern w:val="1"/>
          <w:sz w:val="24"/>
          <w:szCs w:val="24"/>
          <w:highlight w:val="none"/>
        </w:rPr>
      </w:pPr>
      <w:r>
        <w:rPr>
          <w:rFonts w:hint="eastAsia" w:ascii="仿宋_GB2312" w:hAnsi="仿宋_GB2312" w:eastAsia="仿宋_GB2312" w:cs="仿宋_GB2312"/>
          <w:kern w:val="1"/>
          <w:sz w:val="24"/>
          <w:szCs w:val="24"/>
          <w:highlight w:val="none"/>
          <w:u w:val="single"/>
        </w:rPr>
        <w:t>（采购人）</w:t>
      </w:r>
      <w:r>
        <w:rPr>
          <w:rStyle w:val="15"/>
          <w:rFonts w:hint="eastAsia" w:ascii="仿宋_GB2312" w:hAnsi="仿宋_GB2312" w:eastAsia="仿宋_GB2312" w:cs="仿宋_GB2312"/>
          <w:sz w:val="24"/>
          <w:szCs w:val="24"/>
          <w:highlight w:val="none"/>
        </w:rPr>
        <w:t>：</w:t>
      </w:r>
    </w:p>
    <w:p w14:paraId="5A9049ED">
      <w:pPr>
        <w:widowControl/>
        <w:autoSpaceDE w:val="0"/>
        <w:autoSpaceDN w:val="0"/>
        <w:adjustRightInd w:val="0"/>
        <w:spacing w:line="480" w:lineRule="exact"/>
        <w:rPr>
          <w:rFonts w:hint="eastAsia" w:ascii="仿宋_GB2312" w:hAnsi="仿宋_GB2312" w:eastAsia="仿宋_GB2312" w:cs="仿宋_GB2312"/>
          <w:kern w:val="1"/>
          <w:sz w:val="24"/>
          <w:szCs w:val="24"/>
          <w:highlight w:val="none"/>
        </w:rPr>
      </w:pPr>
    </w:p>
    <w:p w14:paraId="6C27C18B">
      <w:pPr>
        <w:widowControl/>
        <w:autoSpaceDE w:val="0"/>
        <w:autoSpaceDN w:val="0"/>
        <w:adjustRightInd w:val="0"/>
        <w:spacing w:line="460" w:lineRule="exact"/>
        <w:ind w:firstLine="480"/>
        <w:rPr>
          <w:rFonts w:hint="eastAsia" w:ascii="仿宋_GB2312" w:hAnsi="仿宋_GB2312" w:eastAsia="仿宋_GB2312" w:cs="仿宋_GB2312"/>
          <w:kern w:val="1"/>
          <w:sz w:val="24"/>
          <w:szCs w:val="24"/>
          <w:highlight w:val="none"/>
        </w:rPr>
      </w:pPr>
      <w:r>
        <w:rPr>
          <w:rFonts w:hint="eastAsia" w:ascii="仿宋_GB2312" w:hAnsi="仿宋_GB2312" w:eastAsia="仿宋_GB2312" w:cs="仿宋_GB2312"/>
          <w:kern w:val="1"/>
          <w:sz w:val="24"/>
          <w:szCs w:val="24"/>
          <w:highlight w:val="none"/>
          <w:u w:val="single"/>
        </w:rPr>
        <w:t>（供应商名称）</w:t>
      </w:r>
      <w:r>
        <w:rPr>
          <w:rStyle w:val="15"/>
          <w:rFonts w:hint="eastAsia" w:ascii="仿宋_GB2312" w:hAnsi="仿宋_GB2312" w:eastAsia="仿宋_GB2312" w:cs="仿宋_GB2312"/>
          <w:sz w:val="24"/>
          <w:szCs w:val="24"/>
          <w:highlight w:val="none"/>
        </w:rPr>
        <w:t>系中华人民共和国合法企业，经营地址</w:t>
      </w:r>
      <w:r>
        <w:rPr>
          <w:rFonts w:hint="eastAsia" w:ascii="仿宋_GB2312" w:hAnsi="仿宋_GB2312" w:eastAsia="仿宋_GB2312" w:cs="仿宋_GB2312"/>
          <w:kern w:val="1"/>
          <w:sz w:val="24"/>
          <w:szCs w:val="24"/>
          <w:highlight w:val="none"/>
          <w:u w:val="single"/>
        </w:rPr>
        <w:t xml:space="preserve">          </w:t>
      </w:r>
      <w:r>
        <w:rPr>
          <w:rStyle w:val="15"/>
          <w:rFonts w:hint="eastAsia" w:ascii="仿宋_GB2312" w:hAnsi="仿宋_GB2312" w:eastAsia="仿宋_GB2312" w:cs="仿宋_GB2312"/>
          <w:sz w:val="24"/>
          <w:szCs w:val="24"/>
          <w:highlight w:val="none"/>
        </w:rPr>
        <w:t>。</w:t>
      </w:r>
    </w:p>
    <w:p w14:paraId="36DEA332">
      <w:pPr>
        <w:widowControl/>
        <w:autoSpaceDE w:val="0"/>
        <w:autoSpaceDN w:val="0"/>
        <w:adjustRightInd w:val="0"/>
        <w:spacing w:line="460" w:lineRule="exact"/>
        <w:ind w:firstLine="480"/>
        <w:rPr>
          <w:rFonts w:hint="eastAsia" w:ascii="仿宋_GB2312" w:hAnsi="仿宋_GB2312" w:eastAsia="仿宋_GB2312" w:cs="仿宋_GB2312"/>
          <w:kern w:val="1"/>
          <w:sz w:val="24"/>
          <w:szCs w:val="24"/>
          <w:highlight w:val="none"/>
        </w:rPr>
      </w:pPr>
      <w:r>
        <w:rPr>
          <w:rStyle w:val="15"/>
          <w:rFonts w:hint="eastAsia" w:ascii="仿宋_GB2312" w:hAnsi="仿宋_GB2312" w:eastAsia="仿宋_GB2312" w:cs="仿宋_GB2312"/>
          <w:sz w:val="24"/>
          <w:szCs w:val="24"/>
          <w:highlight w:val="none"/>
        </w:rPr>
        <w:t>我</w:t>
      </w:r>
      <w:r>
        <w:rPr>
          <w:rFonts w:hint="eastAsia" w:ascii="仿宋_GB2312" w:hAnsi="仿宋_GB2312" w:eastAsia="仿宋_GB2312" w:cs="仿宋_GB2312"/>
          <w:kern w:val="1"/>
          <w:sz w:val="24"/>
          <w:szCs w:val="24"/>
          <w:highlight w:val="none"/>
          <w:u w:val="single"/>
        </w:rPr>
        <w:t>（姓名）</w:t>
      </w:r>
      <w:r>
        <w:rPr>
          <w:rStyle w:val="15"/>
          <w:rFonts w:hint="eastAsia" w:ascii="仿宋_GB2312" w:hAnsi="仿宋_GB2312" w:eastAsia="仿宋_GB2312" w:cs="仿宋_GB2312"/>
          <w:sz w:val="24"/>
          <w:szCs w:val="24"/>
          <w:highlight w:val="none"/>
        </w:rPr>
        <w:t>系</w:t>
      </w:r>
      <w:r>
        <w:rPr>
          <w:rFonts w:hint="eastAsia" w:ascii="仿宋_GB2312" w:hAnsi="仿宋_GB2312" w:eastAsia="仿宋_GB2312" w:cs="仿宋_GB2312"/>
          <w:kern w:val="1"/>
          <w:sz w:val="24"/>
          <w:szCs w:val="24"/>
          <w:highlight w:val="none"/>
          <w:u w:val="single"/>
        </w:rPr>
        <w:t>（供应商名称）</w:t>
      </w:r>
      <w:r>
        <w:rPr>
          <w:rStyle w:val="15"/>
          <w:rFonts w:hint="eastAsia" w:ascii="仿宋_GB2312" w:hAnsi="仿宋_GB2312" w:eastAsia="仿宋_GB2312" w:cs="仿宋_GB2312"/>
          <w:sz w:val="24"/>
          <w:szCs w:val="24"/>
          <w:highlight w:val="none"/>
        </w:rPr>
        <w:t>的法定代表人，我方愿意参加贵方组织的</w:t>
      </w:r>
      <w:r>
        <w:rPr>
          <w:rFonts w:hint="eastAsia" w:ascii="仿宋_GB2312" w:hAnsi="仿宋_GB2312" w:eastAsia="仿宋_GB2312" w:cs="仿宋_GB2312"/>
          <w:kern w:val="1"/>
          <w:sz w:val="24"/>
          <w:szCs w:val="24"/>
          <w:highlight w:val="none"/>
          <w:u w:val="single"/>
        </w:rPr>
        <w:t>（采购项目名称）</w:t>
      </w:r>
      <w:r>
        <w:rPr>
          <w:rStyle w:val="15"/>
          <w:rFonts w:hint="eastAsia" w:ascii="仿宋_GB2312" w:hAnsi="仿宋_GB2312" w:eastAsia="仿宋_GB2312" w:cs="仿宋_GB2312"/>
          <w:sz w:val="24"/>
          <w:szCs w:val="24"/>
          <w:highlight w:val="none"/>
        </w:rPr>
        <w:t>的报价，为此，我方就本次报价有关事项郑重声明如下：</w:t>
      </w:r>
    </w:p>
    <w:p w14:paraId="1784A55B">
      <w:pPr>
        <w:widowControl/>
        <w:autoSpaceDE w:val="0"/>
        <w:autoSpaceDN w:val="0"/>
        <w:adjustRightInd w:val="0"/>
        <w:spacing w:line="460" w:lineRule="exact"/>
        <w:ind w:firstLine="480"/>
        <w:rPr>
          <w:rStyle w:val="15"/>
          <w:rFonts w:hint="eastAsia" w:ascii="仿宋_GB2312" w:hAnsi="仿宋_GB2312" w:eastAsia="仿宋_GB2312" w:cs="仿宋_GB2312"/>
          <w:sz w:val="24"/>
          <w:szCs w:val="24"/>
          <w:highlight w:val="none"/>
        </w:rPr>
      </w:pPr>
      <w:r>
        <w:rPr>
          <w:rStyle w:val="15"/>
          <w:rFonts w:hint="eastAsia" w:ascii="仿宋_GB2312" w:hAnsi="仿宋_GB2312" w:eastAsia="仿宋_GB2312" w:cs="仿宋_GB2312"/>
          <w:sz w:val="24"/>
          <w:szCs w:val="24"/>
          <w:highlight w:val="none"/>
        </w:rPr>
        <w:t>1.我方已详细审查全部磋商文件，同意磋商文件的各项要求。</w:t>
      </w:r>
    </w:p>
    <w:p w14:paraId="3475CFF9">
      <w:pPr>
        <w:widowControl/>
        <w:autoSpaceDE w:val="0"/>
        <w:autoSpaceDN w:val="0"/>
        <w:adjustRightInd w:val="0"/>
        <w:spacing w:line="460" w:lineRule="exact"/>
        <w:ind w:firstLine="480"/>
        <w:rPr>
          <w:rStyle w:val="15"/>
          <w:rFonts w:hint="eastAsia" w:ascii="仿宋_GB2312" w:hAnsi="仿宋_GB2312" w:eastAsia="仿宋_GB2312" w:cs="仿宋_GB2312"/>
          <w:sz w:val="24"/>
          <w:szCs w:val="24"/>
          <w:highlight w:val="none"/>
        </w:rPr>
      </w:pPr>
      <w:r>
        <w:rPr>
          <w:rStyle w:val="15"/>
          <w:rFonts w:hint="eastAsia" w:ascii="仿宋_GB2312" w:hAnsi="仿宋_GB2312" w:eastAsia="仿宋_GB2312" w:cs="仿宋_GB2312"/>
          <w:sz w:val="24"/>
          <w:szCs w:val="24"/>
          <w:highlight w:val="none"/>
        </w:rPr>
        <w:t>2.我方向贵方提交的所有响应文件、资料都是准确的和真实的。</w:t>
      </w:r>
    </w:p>
    <w:p w14:paraId="1AD0F1B6">
      <w:pPr>
        <w:widowControl/>
        <w:autoSpaceDE w:val="0"/>
        <w:autoSpaceDN w:val="0"/>
        <w:adjustRightInd w:val="0"/>
        <w:spacing w:line="460" w:lineRule="exact"/>
        <w:ind w:firstLine="480"/>
        <w:rPr>
          <w:rStyle w:val="15"/>
          <w:rFonts w:hint="eastAsia" w:ascii="仿宋_GB2312" w:hAnsi="仿宋_GB2312" w:eastAsia="仿宋_GB2312" w:cs="仿宋_GB2312"/>
          <w:sz w:val="24"/>
          <w:szCs w:val="24"/>
          <w:highlight w:val="none"/>
        </w:rPr>
      </w:pPr>
      <w:r>
        <w:rPr>
          <w:rStyle w:val="15"/>
          <w:rFonts w:hint="eastAsia" w:ascii="仿宋_GB2312" w:hAnsi="仿宋_GB2312" w:eastAsia="仿宋_GB2312" w:cs="仿宋_GB2312"/>
          <w:sz w:val="24"/>
          <w:szCs w:val="24"/>
          <w:highlight w:val="none"/>
        </w:rPr>
        <w:t>3.若成交，我方将按照磋商文件规定履行合同责任和义务。</w:t>
      </w:r>
    </w:p>
    <w:p w14:paraId="3713B66D">
      <w:pPr>
        <w:widowControl/>
        <w:autoSpaceDE w:val="0"/>
        <w:autoSpaceDN w:val="0"/>
        <w:adjustRightInd w:val="0"/>
        <w:spacing w:line="460" w:lineRule="exact"/>
        <w:ind w:firstLine="480"/>
        <w:rPr>
          <w:rStyle w:val="15"/>
          <w:rFonts w:hint="eastAsia" w:ascii="仿宋_GB2312" w:hAnsi="仿宋_GB2312" w:eastAsia="仿宋_GB2312" w:cs="仿宋_GB2312"/>
          <w:sz w:val="24"/>
          <w:szCs w:val="24"/>
          <w:highlight w:val="none"/>
        </w:rPr>
      </w:pPr>
      <w:r>
        <w:rPr>
          <w:rStyle w:val="15"/>
          <w:rFonts w:hint="eastAsia" w:ascii="仿宋_GB2312" w:hAnsi="仿宋_GB2312" w:eastAsia="仿宋_GB2312" w:cs="仿宋_GB2312"/>
          <w:sz w:val="24"/>
          <w:szCs w:val="24"/>
          <w:highlight w:val="none"/>
        </w:rPr>
        <w:t>4.我方不是采购人的附属机构。在获知本项目采购信息后，与采购人聘请的为此项目提供咨询服务的公司以及其附属机构没有任何联系。</w:t>
      </w:r>
    </w:p>
    <w:p w14:paraId="76193A4D">
      <w:pPr>
        <w:widowControl/>
        <w:autoSpaceDE w:val="0"/>
        <w:autoSpaceDN w:val="0"/>
        <w:adjustRightInd w:val="0"/>
        <w:spacing w:line="460" w:lineRule="exact"/>
        <w:ind w:firstLine="480"/>
        <w:rPr>
          <w:rFonts w:hint="eastAsia" w:ascii="仿宋_GB2312" w:hAnsi="仿宋_GB2312" w:eastAsia="仿宋_GB2312" w:cs="仿宋_GB2312"/>
          <w:kern w:val="1"/>
          <w:sz w:val="24"/>
          <w:szCs w:val="24"/>
          <w:highlight w:val="none"/>
        </w:rPr>
      </w:pPr>
      <w:r>
        <w:rPr>
          <w:rStyle w:val="15"/>
          <w:rFonts w:hint="eastAsia" w:ascii="仿宋_GB2312" w:hAnsi="仿宋_GB2312" w:eastAsia="仿宋_GB2312" w:cs="仿宋_GB2312"/>
          <w:sz w:val="24"/>
          <w:szCs w:val="24"/>
          <w:highlight w:val="none"/>
        </w:rPr>
        <w:t>5.响应文件自开标日起有效期为</w:t>
      </w:r>
      <w:r>
        <w:rPr>
          <w:rFonts w:hint="eastAsia" w:ascii="仿宋_GB2312" w:hAnsi="仿宋_GB2312" w:eastAsia="仿宋_GB2312" w:cs="仿宋_GB2312"/>
          <w:kern w:val="1"/>
          <w:sz w:val="24"/>
          <w:szCs w:val="24"/>
          <w:highlight w:val="none"/>
          <w:u w:val="single"/>
        </w:rPr>
        <w:t>90</w:t>
      </w:r>
      <w:r>
        <w:rPr>
          <w:rStyle w:val="15"/>
          <w:rFonts w:hint="eastAsia" w:ascii="仿宋_GB2312" w:hAnsi="仿宋_GB2312" w:eastAsia="仿宋_GB2312" w:cs="仿宋_GB2312"/>
          <w:sz w:val="24"/>
          <w:szCs w:val="24"/>
          <w:highlight w:val="none"/>
        </w:rPr>
        <w:t>日历日。</w:t>
      </w:r>
    </w:p>
    <w:p w14:paraId="3C92F1EB">
      <w:pPr>
        <w:widowControl/>
        <w:autoSpaceDE w:val="0"/>
        <w:autoSpaceDN w:val="0"/>
        <w:adjustRightInd w:val="0"/>
        <w:spacing w:line="460" w:lineRule="exact"/>
        <w:ind w:firstLine="480"/>
        <w:rPr>
          <w:rStyle w:val="15"/>
          <w:rFonts w:hint="eastAsia" w:ascii="仿宋_GB2312" w:hAnsi="仿宋_GB2312" w:eastAsia="仿宋_GB2312" w:cs="仿宋_GB2312"/>
          <w:sz w:val="24"/>
          <w:szCs w:val="24"/>
          <w:highlight w:val="none"/>
        </w:rPr>
      </w:pPr>
      <w:r>
        <w:rPr>
          <w:rStyle w:val="15"/>
          <w:rFonts w:hint="eastAsia" w:ascii="仿宋_GB2312" w:hAnsi="仿宋_GB2312" w:eastAsia="仿宋_GB2312" w:cs="仿宋_GB2312"/>
          <w:sz w:val="24"/>
          <w:szCs w:val="24"/>
          <w:highlight w:val="none"/>
        </w:rPr>
        <w:t>6.以上事项如有虚假或者隐瞒，我方愿意承担一切后果。</w:t>
      </w:r>
    </w:p>
    <w:p w14:paraId="23DBFF43">
      <w:pPr>
        <w:widowControl/>
        <w:tabs>
          <w:tab w:val="left" w:pos="939"/>
        </w:tabs>
        <w:autoSpaceDE w:val="0"/>
        <w:autoSpaceDN w:val="0"/>
        <w:adjustRightInd w:val="0"/>
        <w:spacing w:line="460" w:lineRule="exact"/>
        <w:ind w:left="773" w:right="-481" w:hanging="458"/>
        <w:rPr>
          <w:rFonts w:hint="eastAsia" w:ascii="仿宋_GB2312" w:hAnsi="仿宋_GB2312" w:eastAsia="仿宋_GB2312" w:cs="仿宋_GB2312"/>
          <w:kern w:val="1"/>
          <w:sz w:val="24"/>
          <w:szCs w:val="24"/>
          <w:highlight w:val="none"/>
        </w:rPr>
      </w:pPr>
    </w:p>
    <w:p w14:paraId="547CCC62">
      <w:pPr>
        <w:widowControl/>
        <w:tabs>
          <w:tab w:val="left" w:pos="939"/>
        </w:tabs>
        <w:autoSpaceDE w:val="0"/>
        <w:autoSpaceDN w:val="0"/>
        <w:adjustRightInd w:val="0"/>
        <w:spacing w:line="460" w:lineRule="exact"/>
        <w:ind w:left="773" w:right="-481" w:hanging="458"/>
        <w:rPr>
          <w:rFonts w:hint="eastAsia" w:ascii="仿宋_GB2312" w:hAnsi="仿宋_GB2312" w:eastAsia="仿宋_GB2312" w:cs="仿宋_GB2312"/>
          <w:kern w:val="1"/>
          <w:sz w:val="24"/>
          <w:szCs w:val="24"/>
          <w:highlight w:val="none"/>
        </w:rPr>
      </w:pPr>
    </w:p>
    <w:p w14:paraId="6DEEF4B9">
      <w:pPr>
        <w:widowControl/>
        <w:tabs>
          <w:tab w:val="left" w:pos="939"/>
        </w:tabs>
        <w:autoSpaceDE w:val="0"/>
        <w:autoSpaceDN w:val="0"/>
        <w:adjustRightInd w:val="0"/>
        <w:spacing w:line="460" w:lineRule="exact"/>
        <w:ind w:left="773" w:right="-481" w:hanging="458"/>
        <w:rPr>
          <w:rFonts w:hint="eastAsia" w:ascii="仿宋_GB2312" w:hAnsi="仿宋_GB2312" w:eastAsia="仿宋_GB2312" w:cs="仿宋_GB2312"/>
          <w:kern w:val="1"/>
          <w:sz w:val="24"/>
          <w:szCs w:val="24"/>
          <w:highlight w:val="none"/>
        </w:rPr>
      </w:pPr>
    </w:p>
    <w:p w14:paraId="3814C739">
      <w:pPr>
        <w:widowControl/>
        <w:autoSpaceDE w:val="0"/>
        <w:autoSpaceDN w:val="0"/>
        <w:adjustRightInd w:val="0"/>
        <w:spacing w:before="120" w:line="460" w:lineRule="exact"/>
        <w:ind w:right="-481" w:firstLine="3676" w:firstLineChars="1532"/>
        <w:rPr>
          <w:rStyle w:val="15"/>
          <w:rFonts w:hint="eastAsia" w:ascii="仿宋_GB2312" w:hAnsi="仿宋_GB2312" w:eastAsia="仿宋_GB2312" w:cs="仿宋_GB2312"/>
          <w:sz w:val="24"/>
          <w:szCs w:val="24"/>
          <w:highlight w:val="none"/>
        </w:rPr>
      </w:pPr>
      <w:r>
        <w:rPr>
          <w:rStyle w:val="15"/>
          <w:rFonts w:hint="eastAsia" w:ascii="仿宋_GB2312" w:hAnsi="仿宋_GB2312" w:eastAsia="仿宋_GB2312" w:cs="仿宋_GB2312"/>
          <w:sz w:val="24"/>
          <w:szCs w:val="24"/>
          <w:highlight w:val="none"/>
        </w:rPr>
        <w:t xml:space="preserve">供应商（公章）：               </w:t>
      </w:r>
    </w:p>
    <w:p w14:paraId="4C07E0B7">
      <w:pPr>
        <w:widowControl/>
        <w:autoSpaceDE w:val="0"/>
        <w:autoSpaceDN w:val="0"/>
        <w:adjustRightInd w:val="0"/>
        <w:spacing w:before="120" w:after="50" w:line="460" w:lineRule="exact"/>
        <w:ind w:right="119" w:firstLine="3720"/>
        <w:rPr>
          <w:rStyle w:val="15"/>
          <w:rFonts w:hint="eastAsia" w:ascii="仿宋_GB2312" w:hAnsi="仿宋_GB2312" w:eastAsia="仿宋_GB2312" w:cs="仿宋_GB2312"/>
          <w:sz w:val="24"/>
          <w:szCs w:val="24"/>
          <w:highlight w:val="none"/>
        </w:rPr>
      </w:pPr>
      <w:r>
        <w:rPr>
          <w:rStyle w:val="15"/>
          <w:rFonts w:hint="eastAsia" w:ascii="仿宋_GB2312" w:hAnsi="仿宋_GB2312" w:eastAsia="仿宋_GB2312" w:cs="仿宋_GB2312"/>
          <w:sz w:val="24"/>
          <w:szCs w:val="24"/>
          <w:highlight w:val="none"/>
        </w:rPr>
        <w:t xml:space="preserve">法定代表人（签字）：               </w:t>
      </w:r>
    </w:p>
    <w:p w14:paraId="1E79BB6C">
      <w:pPr>
        <w:widowControl/>
        <w:autoSpaceDE w:val="0"/>
        <w:autoSpaceDN w:val="0"/>
        <w:adjustRightInd w:val="0"/>
        <w:spacing w:line="460" w:lineRule="exact"/>
        <w:ind w:firstLine="5160" w:firstLineChars="2150"/>
        <w:rPr>
          <w:rFonts w:hint="eastAsia" w:ascii="仿宋_GB2312" w:hAnsi="仿宋_GB2312" w:eastAsia="仿宋_GB2312" w:cs="仿宋_GB2312"/>
          <w:kern w:val="1"/>
          <w:sz w:val="24"/>
          <w:szCs w:val="24"/>
          <w:highlight w:val="none"/>
          <w:u w:val="single"/>
        </w:rPr>
      </w:pPr>
      <w:r>
        <w:rPr>
          <w:rStyle w:val="15"/>
          <w:rFonts w:hint="eastAsia" w:ascii="仿宋_GB2312" w:hAnsi="仿宋_GB2312" w:eastAsia="仿宋_GB2312" w:cs="仿宋_GB2312"/>
          <w:sz w:val="24"/>
          <w:szCs w:val="24"/>
          <w:highlight w:val="none"/>
        </w:rPr>
        <w:t>日 期：</w:t>
      </w:r>
      <w:r>
        <w:rPr>
          <w:rFonts w:hint="eastAsia" w:ascii="仿宋_GB2312" w:hAnsi="仿宋_GB2312" w:eastAsia="仿宋_GB2312" w:cs="仿宋_GB2312"/>
          <w:kern w:val="1"/>
          <w:sz w:val="24"/>
          <w:szCs w:val="24"/>
          <w:highlight w:val="none"/>
          <w:u w:val="single"/>
        </w:rPr>
        <w:t xml:space="preserve">              </w:t>
      </w:r>
    </w:p>
    <w:p w14:paraId="449EC2E0">
      <w:pPr>
        <w:spacing w:before="100" w:beforeAutospacing="1" w:after="100" w:afterAutospacing="1"/>
        <w:jc w:val="left"/>
        <w:rPr>
          <w:rStyle w:val="15"/>
          <w:rFonts w:hint="eastAsia" w:ascii="仿宋_GB2312" w:hAnsi="仿宋_GB2312" w:eastAsia="仿宋_GB2312" w:cs="仿宋_GB2312"/>
          <w:sz w:val="24"/>
          <w:szCs w:val="24"/>
          <w:highlight w:val="none"/>
        </w:rPr>
      </w:pPr>
      <w:r>
        <w:rPr>
          <w:rFonts w:hint="eastAsia" w:ascii="仿宋_GB2312" w:hAnsi="仿宋_GB2312" w:eastAsia="仿宋_GB2312" w:cs="仿宋_GB2312"/>
          <w:kern w:val="1"/>
          <w:sz w:val="24"/>
          <w:szCs w:val="24"/>
          <w:highlight w:val="none"/>
          <w:u w:val="single"/>
        </w:rPr>
        <w:br w:type="page"/>
      </w:r>
      <w:r>
        <w:rPr>
          <w:rStyle w:val="15"/>
          <w:rFonts w:hint="eastAsia" w:ascii="仿宋_GB2312" w:hAnsi="仿宋_GB2312" w:eastAsia="仿宋_GB2312" w:cs="仿宋_GB2312"/>
          <w:sz w:val="24"/>
          <w:szCs w:val="24"/>
          <w:highlight w:val="none"/>
        </w:rPr>
        <w:t xml:space="preserve">附件4：    </w:t>
      </w:r>
    </w:p>
    <w:p w14:paraId="1D175128">
      <w:pPr>
        <w:widowControl/>
        <w:autoSpaceDE w:val="0"/>
        <w:autoSpaceDN w:val="0"/>
        <w:adjustRightInd w:val="0"/>
        <w:spacing w:line="300" w:lineRule="auto"/>
        <w:jc w:val="center"/>
        <w:rPr>
          <w:rFonts w:hint="eastAsia" w:ascii="仿宋_GB2312" w:hAnsi="仿宋_GB2312" w:eastAsia="仿宋_GB2312" w:cs="仿宋_GB2312"/>
          <w:kern w:val="1"/>
          <w:sz w:val="28"/>
          <w:szCs w:val="28"/>
          <w:highlight w:val="none"/>
        </w:rPr>
      </w:pPr>
      <w:r>
        <w:rPr>
          <w:rFonts w:hint="eastAsia" w:ascii="仿宋_GB2312" w:hAnsi="仿宋_GB2312" w:eastAsia="仿宋_GB2312" w:cs="仿宋_GB2312"/>
          <w:kern w:val="1"/>
          <w:sz w:val="28"/>
          <w:szCs w:val="28"/>
          <w:highlight w:val="none"/>
        </w:rPr>
        <w:t>法定代表人授权委托书</w:t>
      </w:r>
    </w:p>
    <w:p w14:paraId="3B6CCF23">
      <w:pPr>
        <w:widowControl/>
        <w:autoSpaceDE w:val="0"/>
        <w:autoSpaceDN w:val="0"/>
        <w:adjustRightInd w:val="0"/>
        <w:spacing w:line="360" w:lineRule="auto"/>
        <w:rPr>
          <w:rFonts w:hint="eastAsia" w:ascii="仿宋_GB2312" w:hAnsi="仿宋_GB2312" w:eastAsia="仿宋_GB2312" w:cs="仿宋_GB2312"/>
          <w:kern w:val="1"/>
          <w:sz w:val="24"/>
          <w:szCs w:val="24"/>
          <w:highlight w:val="none"/>
        </w:rPr>
      </w:pPr>
    </w:p>
    <w:p w14:paraId="6EE6CF1E">
      <w:pPr>
        <w:widowControl/>
        <w:autoSpaceDE w:val="0"/>
        <w:autoSpaceDN w:val="0"/>
        <w:adjustRightInd w:val="0"/>
        <w:spacing w:line="480" w:lineRule="auto"/>
        <w:rPr>
          <w:rFonts w:hint="eastAsia" w:ascii="仿宋_GB2312" w:hAnsi="仿宋_GB2312" w:eastAsia="仿宋_GB2312" w:cs="仿宋_GB2312"/>
          <w:kern w:val="1"/>
          <w:sz w:val="24"/>
          <w:szCs w:val="24"/>
          <w:highlight w:val="none"/>
        </w:rPr>
      </w:pPr>
      <w:r>
        <w:rPr>
          <w:rFonts w:hint="eastAsia" w:ascii="仿宋_GB2312" w:hAnsi="仿宋_GB2312" w:eastAsia="仿宋_GB2312" w:cs="仿宋_GB2312"/>
          <w:kern w:val="1"/>
          <w:sz w:val="24"/>
          <w:szCs w:val="24"/>
          <w:highlight w:val="none"/>
          <w:u w:val="single"/>
        </w:rPr>
        <w:t xml:space="preserve">   （采购人）  </w:t>
      </w:r>
      <w:r>
        <w:rPr>
          <w:rStyle w:val="15"/>
          <w:rFonts w:hint="eastAsia" w:ascii="仿宋_GB2312" w:hAnsi="仿宋_GB2312" w:eastAsia="仿宋_GB2312" w:cs="仿宋_GB2312"/>
          <w:sz w:val="24"/>
          <w:szCs w:val="24"/>
          <w:highlight w:val="none"/>
        </w:rPr>
        <w:t>：</w:t>
      </w:r>
    </w:p>
    <w:p w14:paraId="4600F7AB">
      <w:pPr>
        <w:widowControl/>
        <w:autoSpaceDE w:val="0"/>
        <w:autoSpaceDN w:val="0"/>
        <w:adjustRightInd w:val="0"/>
        <w:spacing w:line="480" w:lineRule="auto"/>
        <w:ind w:firstLine="480"/>
        <w:rPr>
          <w:rFonts w:hint="eastAsia" w:ascii="仿宋_GB2312" w:hAnsi="仿宋_GB2312" w:eastAsia="仿宋_GB2312" w:cs="仿宋_GB2312"/>
          <w:kern w:val="1"/>
          <w:sz w:val="24"/>
          <w:szCs w:val="24"/>
          <w:highlight w:val="none"/>
        </w:rPr>
      </w:pPr>
      <w:r>
        <w:rPr>
          <w:rStyle w:val="15"/>
          <w:rFonts w:hint="eastAsia" w:ascii="仿宋_GB2312" w:hAnsi="仿宋_GB2312" w:eastAsia="仿宋_GB2312" w:cs="仿宋_GB2312"/>
          <w:sz w:val="24"/>
          <w:szCs w:val="24"/>
          <w:highlight w:val="none"/>
        </w:rPr>
        <w:t>我</w:t>
      </w:r>
      <w:r>
        <w:rPr>
          <w:rFonts w:hint="eastAsia" w:ascii="仿宋_GB2312" w:hAnsi="仿宋_GB2312" w:eastAsia="仿宋_GB2312" w:cs="仿宋_GB2312"/>
          <w:kern w:val="1"/>
          <w:sz w:val="24"/>
          <w:szCs w:val="24"/>
          <w:highlight w:val="none"/>
          <w:u w:val="single"/>
        </w:rPr>
        <w:t xml:space="preserve">   （姓名） </w:t>
      </w:r>
      <w:r>
        <w:rPr>
          <w:rStyle w:val="15"/>
          <w:rFonts w:hint="eastAsia" w:ascii="仿宋_GB2312" w:hAnsi="仿宋_GB2312" w:eastAsia="仿宋_GB2312" w:cs="仿宋_GB2312"/>
          <w:sz w:val="24"/>
          <w:szCs w:val="24"/>
          <w:highlight w:val="none"/>
        </w:rPr>
        <w:t>系</w:t>
      </w:r>
      <w:r>
        <w:rPr>
          <w:rFonts w:hint="eastAsia" w:ascii="仿宋_GB2312" w:hAnsi="仿宋_GB2312" w:eastAsia="仿宋_GB2312" w:cs="仿宋_GB2312"/>
          <w:kern w:val="1"/>
          <w:sz w:val="24"/>
          <w:szCs w:val="24"/>
          <w:highlight w:val="none"/>
          <w:u w:val="single"/>
        </w:rPr>
        <w:t xml:space="preserve">    （供应商名称）</w:t>
      </w:r>
      <w:r>
        <w:rPr>
          <w:rStyle w:val="15"/>
          <w:rFonts w:hint="eastAsia" w:ascii="仿宋_GB2312" w:hAnsi="仿宋_GB2312" w:eastAsia="仿宋_GB2312" w:cs="仿宋_GB2312"/>
          <w:sz w:val="24"/>
          <w:szCs w:val="24"/>
          <w:highlight w:val="none"/>
        </w:rPr>
        <w:t>法定代表人，现授权委托我公司的</w:t>
      </w:r>
      <w:r>
        <w:rPr>
          <w:rFonts w:hint="eastAsia" w:ascii="仿宋_GB2312" w:hAnsi="仿宋_GB2312" w:eastAsia="仿宋_GB2312" w:cs="仿宋_GB2312"/>
          <w:kern w:val="1"/>
          <w:sz w:val="24"/>
          <w:szCs w:val="24"/>
          <w:highlight w:val="none"/>
          <w:u w:val="single"/>
        </w:rPr>
        <w:t xml:space="preserve">  （姓名、职务或者职称）</w:t>
      </w:r>
      <w:r>
        <w:rPr>
          <w:rStyle w:val="15"/>
          <w:rFonts w:hint="eastAsia" w:ascii="仿宋_GB2312" w:hAnsi="仿宋_GB2312" w:eastAsia="仿宋_GB2312" w:cs="仿宋_GB2312"/>
          <w:sz w:val="24"/>
          <w:szCs w:val="24"/>
          <w:highlight w:val="none"/>
        </w:rPr>
        <w:t>为我公司本次</w:t>
      </w:r>
      <w:r>
        <w:rPr>
          <w:rFonts w:hint="eastAsia" w:ascii="仿宋_GB2312" w:hAnsi="仿宋_GB2312" w:eastAsia="仿宋_GB2312" w:cs="仿宋_GB2312"/>
          <w:kern w:val="1"/>
          <w:sz w:val="24"/>
          <w:szCs w:val="24"/>
          <w:highlight w:val="none"/>
          <w:u w:val="single"/>
        </w:rPr>
        <w:t xml:space="preserve">             </w:t>
      </w:r>
      <w:r>
        <w:rPr>
          <w:rStyle w:val="15"/>
          <w:rFonts w:hint="eastAsia" w:ascii="仿宋_GB2312" w:hAnsi="仿宋_GB2312" w:eastAsia="仿宋_GB2312" w:cs="仿宋_GB2312"/>
          <w:sz w:val="24"/>
          <w:szCs w:val="24"/>
          <w:highlight w:val="none"/>
          <w:u w:val="single"/>
        </w:rPr>
        <w:t>项目</w:t>
      </w:r>
      <w:r>
        <w:rPr>
          <w:rStyle w:val="15"/>
          <w:rFonts w:hint="eastAsia" w:ascii="仿宋_GB2312" w:hAnsi="仿宋_GB2312" w:eastAsia="仿宋_GB2312" w:cs="仿宋_GB2312"/>
          <w:sz w:val="24"/>
          <w:szCs w:val="24"/>
          <w:highlight w:val="none"/>
        </w:rPr>
        <w:t>的授权代表，代表我方办理本次报价、签约等相关事宜，签署全部有关的文件、协议、合同并具有法律效力。</w:t>
      </w:r>
    </w:p>
    <w:p w14:paraId="68BB6110">
      <w:pPr>
        <w:widowControl/>
        <w:autoSpaceDE w:val="0"/>
        <w:autoSpaceDN w:val="0"/>
        <w:adjustRightInd w:val="0"/>
        <w:spacing w:line="480" w:lineRule="auto"/>
        <w:ind w:firstLine="480"/>
        <w:rPr>
          <w:rStyle w:val="15"/>
          <w:rFonts w:hint="eastAsia" w:ascii="仿宋_GB2312" w:hAnsi="仿宋_GB2312" w:eastAsia="仿宋_GB2312" w:cs="仿宋_GB2312"/>
          <w:sz w:val="24"/>
          <w:szCs w:val="24"/>
          <w:highlight w:val="none"/>
        </w:rPr>
      </w:pPr>
      <w:r>
        <w:rPr>
          <w:rStyle w:val="15"/>
          <w:rFonts w:hint="eastAsia" w:ascii="仿宋_GB2312" w:hAnsi="仿宋_GB2312" w:eastAsia="仿宋_GB2312" w:cs="仿宋_GB2312"/>
          <w:sz w:val="24"/>
          <w:szCs w:val="24"/>
          <w:highlight w:val="none"/>
        </w:rPr>
        <w:t>在我方未发出撤销授权委托书的书面通知以前，本授权委托书一直有效。被授权人签署的所有文件（在授权书有效期内签署的）不因授权撤销而失效。</w:t>
      </w:r>
    </w:p>
    <w:p w14:paraId="271EA9D0">
      <w:pPr>
        <w:widowControl/>
        <w:autoSpaceDE w:val="0"/>
        <w:autoSpaceDN w:val="0"/>
        <w:adjustRightInd w:val="0"/>
        <w:spacing w:line="480" w:lineRule="auto"/>
        <w:ind w:firstLine="480"/>
        <w:rPr>
          <w:rStyle w:val="15"/>
          <w:rFonts w:hint="eastAsia" w:ascii="仿宋_GB2312" w:hAnsi="仿宋_GB2312" w:eastAsia="仿宋_GB2312" w:cs="仿宋_GB2312"/>
          <w:sz w:val="24"/>
          <w:szCs w:val="24"/>
          <w:highlight w:val="none"/>
        </w:rPr>
      </w:pPr>
      <w:r>
        <w:rPr>
          <w:rStyle w:val="15"/>
          <w:rFonts w:hint="eastAsia" w:ascii="仿宋_GB2312" w:hAnsi="仿宋_GB2312" w:eastAsia="仿宋_GB2312" w:cs="仿宋_GB2312"/>
          <w:sz w:val="24"/>
          <w:szCs w:val="24"/>
          <w:highlight w:val="none"/>
        </w:rPr>
        <w:t>被授权代表无权转让委托权。特此授权。</w:t>
      </w:r>
    </w:p>
    <w:p w14:paraId="4D68C420">
      <w:pPr>
        <w:widowControl/>
        <w:autoSpaceDE w:val="0"/>
        <w:autoSpaceDN w:val="0"/>
        <w:adjustRightInd w:val="0"/>
        <w:spacing w:line="480" w:lineRule="auto"/>
        <w:ind w:firstLine="480"/>
        <w:rPr>
          <w:rFonts w:hint="eastAsia" w:ascii="仿宋_GB2312" w:hAnsi="仿宋_GB2312" w:eastAsia="仿宋_GB2312" w:cs="仿宋_GB2312"/>
          <w:kern w:val="1"/>
          <w:sz w:val="24"/>
          <w:szCs w:val="24"/>
          <w:highlight w:val="none"/>
        </w:rPr>
      </w:pPr>
      <w:r>
        <w:rPr>
          <w:rStyle w:val="15"/>
          <w:rFonts w:hint="eastAsia" w:ascii="仿宋_GB2312" w:hAnsi="仿宋_GB2312" w:eastAsia="仿宋_GB2312" w:cs="仿宋_GB2312"/>
          <w:sz w:val="24"/>
          <w:szCs w:val="24"/>
          <w:highlight w:val="none"/>
        </w:rPr>
        <w:t>本授权委托书于</w:t>
      </w:r>
      <w:r>
        <w:rPr>
          <w:rFonts w:hint="eastAsia" w:ascii="仿宋_GB2312" w:hAnsi="仿宋_GB2312" w:eastAsia="仿宋_GB2312" w:cs="仿宋_GB2312"/>
          <w:kern w:val="1"/>
          <w:sz w:val="24"/>
          <w:szCs w:val="24"/>
          <w:highlight w:val="none"/>
          <w:u w:val="single"/>
        </w:rPr>
        <w:t xml:space="preserve">        </w:t>
      </w:r>
      <w:r>
        <w:rPr>
          <w:rStyle w:val="15"/>
          <w:rFonts w:hint="eastAsia" w:ascii="仿宋_GB2312" w:hAnsi="仿宋_GB2312" w:eastAsia="仿宋_GB2312" w:cs="仿宋_GB2312"/>
          <w:sz w:val="24"/>
          <w:szCs w:val="24"/>
          <w:highlight w:val="none"/>
        </w:rPr>
        <w:t>年</w:t>
      </w:r>
      <w:r>
        <w:rPr>
          <w:rFonts w:hint="eastAsia" w:ascii="仿宋_GB2312" w:hAnsi="仿宋_GB2312" w:eastAsia="仿宋_GB2312" w:cs="仿宋_GB2312"/>
          <w:kern w:val="1"/>
          <w:sz w:val="24"/>
          <w:szCs w:val="24"/>
          <w:highlight w:val="none"/>
          <w:u w:val="single"/>
        </w:rPr>
        <w:t xml:space="preserve">        </w:t>
      </w:r>
      <w:r>
        <w:rPr>
          <w:rStyle w:val="15"/>
          <w:rFonts w:hint="eastAsia" w:ascii="仿宋_GB2312" w:hAnsi="仿宋_GB2312" w:eastAsia="仿宋_GB2312" w:cs="仿宋_GB2312"/>
          <w:sz w:val="24"/>
          <w:szCs w:val="24"/>
          <w:highlight w:val="none"/>
        </w:rPr>
        <w:t>月</w:t>
      </w:r>
      <w:r>
        <w:rPr>
          <w:rFonts w:hint="eastAsia" w:ascii="仿宋_GB2312" w:hAnsi="仿宋_GB2312" w:eastAsia="仿宋_GB2312" w:cs="仿宋_GB2312"/>
          <w:kern w:val="1"/>
          <w:sz w:val="24"/>
          <w:szCs w:val="24"/>
          <w:highlight w:val="none"/>
          <w:u w:val="single"/>
        </w:rPr>
        <w:t xml:space="preserve">        </w:t>
      </w:r>
      <w:r>
        <w:rPr>
          <w:rStyle w:val="15"/>
          <w:rFonts w:hint="eastAsia" w:ascii="仿宋_GB2312" w:hAnsi="仿宋_GB2312" w:eastAsia="仿宋_GB2312" w:cs="仿宋_GB2312"/>
          <w:sz w:val="24"/>
          <w:szCs w:val="24"/>
          <w:highlight w:val="none"/>
        </w:rPr>
        <w:t>日签字生效,特此声明。</w:t>
      </w:r>
    </w:p>
    <w:p w14:paraId="55CE83D2">
      <w:pPr>
        <w:widowControl/>
        <w:autoSpaceDE w:val="0"/>
        <w:autoSpaceDN w:val="0"/>
        <w:adjustRightInd w:val="0"/>
        <w:spacing w:line="360" w:lineRule="auto"/>
        <w:rPr>
          <w:rFonts w:hint="eastAsia" w:ascii="仿宋_GB2312" w:hAnsi="仿宋_GB2312" w:eastAsia="仿宋_GB2312" w:cs="仿宋_GB2312"/>
          <w:kern w:val="1"/>
          <w:sz w:val="24"/>
          <w:szCs w:val="24"/>
          <w:highlight w:val="none"/>
        </w:rPr>
      </w:pPr>
    </w:p>
    <w:p w14:paraId="701C30A7">
      <w:pPr>
        <w:widowControl/>
        <w:autoSpaceDE w:val="0"/>
        <w:autoSpaceDN w:val="0"/>
        <w:adjustRightInd w:val="0"/>
        <w:spacing w:line="360" w:lineRule="auto"/>
        <w:ind w:right="-481"/>
        <w:jc w:val="center"/>
        <w:rPr>
          <w:rFonts w:hint="eastAsia" w:ascii="仿宋_GB2312" w:hAnsi="仿宋_GB2312" w:eastAsia="仿宋_GB2312" w:cs="仿宋_GB2312"/>
          <w:kern w:val="1"/>
          <w:sz w:val="24"/>
          <w:szCs w:val="24"/>
          <w:highlight w:val="none"/>
        </w:rPr>
      </w:pPr>
      <w:r>
        <w:rPr>
          <w:rFonts w:hint="eastAsia" w:ascii="仿宋_GB2312" w:hAnsi="仿宋_GB2312" w:eastAsia="仿宋_GB2312" w:cs="仿宋_GB2312"/>
          <w:kern w:val="1"/>
          <w:sz w:val="24"/>
          <w:szCs w:val="24"/>
          <w:highlight w:val="none"/>
        </w:rPr>
        <w:t>（附法人代表身份证以及被授权代表身份证复印件）</w:t>
      </w:r>
    </w:p>
    <w:p w14:paraId="0EBA2307">
      <w:pPr>
        <w:widowControl/>
        <w:autoSpaceDE w:val="0"/>
        <w:autoSpaceDN w:val="0"/>
        <w:adjustRightInd w:val="0"/>
        <w:spacing w:line="360" w:lineRule="auto"/>
        <w:ind w:right="-481"/>
        <w:jc w:val="center"/>
        <w:rPr>
          <w:rFonts w:hint="eastAsia" w:ascii="仿宋_GB2312" w:hAnsi="仿宋_GB2312" w:eastAsia="仿宋_GB2312" w:cs="仿宋_GB2312"/>
          <w:kern w:val="1"/>
          <w:sz w:val="24"/>
          <w:szCs w:val="24"/>
          <w:highlight w:val="none"/>
        </w:rPr>
      </w:pPr>
    </w:p>
    <w:p w14:paraId="018F7AEC">
      <w:pPr>
        <w:widowControl/>
        <w:autoSpaceDE w:val="0"/>
        <w:autoSpaceDN w:val="0"/>
        <w:adjustRightInd w:val="0"/>
        <w:spacing w:line="360" w:lineRule="auto"/>
        <w:ind w:right="-481"/>
        <w:jc w:val="center"/>
        <w:rPr>
          <w:rFonts w:hint="eastAsia" w:ascii="仿宋_GB2312" w:hAnsi="仿宋_GB2312" w:eastAsia="仿宋_GB2312" w:cs="仿宋_GB2312"/>
          <w:kern w:val="1"/>
          <w:sz w:val="24"/>
          <w:szCs w:val="24"/>
          <w:highlight w:val="none"/>
        </w:rPr>
      </w:pPr>
    </w:p>
    <w:p w14:paraId="063B15AA">
      <w:pPr>
        <w:widowControl/>
        <w:autoSpaceDE w:val="0"/>
        <w:autoSpaceDN w:val="0"/>
        <w:adjustRightInd w:val="0"/>
        <w:spacing w:line="360" w:lineRule="auto"/>
        <w:ind w:right="-481"/>
        <w:rPr>
          <w:rStyle w:val="15"/>
          <w:rFonts w:hint="eastAsia" w:ascii="仿宋_GB2312" w:hAnsi="仿宋_GB2312" w:eastAsia="仿宋_GB2312" w:cs="仿宋_GB2312"/>
          <w:sz w:val="24"/>
          <w:szCs w:val="24"/>
          <w:highlight w:val="none"/>
        </w:rPr>
      </w:pPr>
      <w:r>
        <w:rPr>
          <w:rStyle w:val="15"/>
          <w:rFonts w:hint="eastAsia" w:ascii="仿宋_GB2312" w:hAnsi="仿宋_GB2312" w:eastAsia="仿宋_GB2312" w:cs="仿宋_GB2312"/>
          <w:sz w:val="24"/>
          <w:szCs w:val="24"/>
          <w:highlight w:val="none"/>
        </w:rPr>
        <w:t>被授权代表姓名：             性 别：              年 龄：</w:t>
      </w:r>
    </w:p>
    <w:p w14:paraId="6628B144">
      <w:pPr>
        <w:widowControl/>
        <w:autoSpaceDE w:val="0"/>
        <w:autoSpaceDN w:val="0"/>
        <w:adjustRightInd w:val="0"/>
        <w:spacing w:line="360" w:lineRule="auto"/>
        <w:ind w:right="-481"/>
        <w:rPr>
          <w:rStyle w:val="15"/>
          <w:rFonts w:hint="eastAsia" w:ascii="仿宋_GB2312" w:hAnsi="仿宋_GB2312" w:eastAsia="仿宋_GB2312" w:cs="仿宋_GB2312"/>
          <w:sz w:val="24"/>
          <w:szCs w:val="24"/>
          <w:highlight w:val="none"/>
        </w:rPr>
      </w:pPr>
      <w:r>
        <w:rPr>
          <w:rStyle w:val="15"/>
          <w:rFonts w:hint="eastAsia" w:ascii="仿宋_GB2312" w:hAnsi="仿宋_GB2312" w:eastAsia="仿宋_GB2312" w:cs="仿宋_GB2312"/>
          <w:sz w:val="24"/>
          <w:szCs w:val="24"/>
          <w:highlight w:val="none"/>
        </w:rPr>
        <w:t>单  位：                     部 门：              职 务：</w:t>
      </w:r>
    </w:p>
    <w:p w14:paraId="547AF28D">
      <w:pPr>
        <w:widowControl/>
        <w:autoSpaceDE w:val="0"/>
        <w:autoSpaceDN w:val="0"/>
        <w:adjustRightInd w:val="0"/>
        <w:spacing w:line="360" w:lineRule="auto"/>
        <w:ind w:right="-481"/>
        <w:rPr>
          <w:rFonts w:hint="eastAsia" w:ascii="仿宋_GB2312" w:hAnsi="仿宋_GB2312" w:eastAsia="仿宋_GB2312" w:cs="仿宋_GB2312"/>
          <w:kern w:val="1"/>
          <w:sz w:val="24"/>
          <w:szCs w:val="24"/>
          <w:highlight w:val="none"/>
        </w:rPr>
      </w:pPr>
    </w:p>
    <w:p w14:paraId="31C4E6AA">
      <w:pPr>
        <w:widowControl/>
        <w:autoSpaceDE w:val="0"/>
        <w:autoSpaceDN w:val="0"/>
        <w:adjustRightInd w:val="0"/>
        <w:spacing w:line="360" w:lineRule="auto"/>
        <w:ind w:right="-481" w:firstLine="4320"/>
        <w:rPr>
          <w:rStyle w:val="15"/>
          <w:rFonts w:hint="eastAsia" w:ascii="仿宋_GB2312" w:hAnsi="仿宋_GB2312" w:eastAsia="仿宋_GB2312" w:cs="仿宋_GB2312"/>
          <w:sz w:val="24"/>
          <w:szCs w:val="24"/>
          <w:highlight w:val="none"/>
        </w:rPr>
      </w:pPr>
      <w:r>
        <w:rPr>
          <w:rStyle w:val="15"/>
          <w:rFonts w:hint="eastAsia" w:ascii="仿宋_GB2312" w:hAnsi="仿宋_GB2312" w:eastAsia="仿宋_GB2312" w:cs="仿宋_GB2312"/>
          <w:sz w:val="24"/>
          <w:szCs w:val="24"/>
          <w:highlight w:val="none"/>
        </w:rPr>
        <w:t>供应商（公章）：</w:t>
      </w:r>
    </w:p>
    <w:p w14:paraId="27FF0703">
      <w:pPr>
        <w:widowControl/>
        <w:autoSpaceDE w:val="0"/>
        <w:autoSpaceDN w:val="0"/>
        <w:adjustRightInd w:val="0"/>
        <w:spacing w:line="360" w:lineRule="auto"/>
        <w:ind w:right="-481" w:firstLine="4320"/>
        <w:rPr>
          <w:rStyle w:val="15"/>
          <w:rFonts w:hint="eastAsia" w:ascii="仿宋_GB2312" w:hAnsi="仿宋_GB2312" w:eastAsia="仿宋_GB2312" w:cs="仿宋_GB2312"/>
          <w:sz w:val="24"/>
          <w:szCs w:val="24"/>
          <w:highlight w:val="none"/>
        </w:rPr>
      </w:pPr>
      <w:r>
        <w:rPr>
          <w:rStyle w:val="15"/>
          <w:rFonts w:hint="eastAsia" w:ascii="仿宋_GB2312" w:hAnsi="仿宋_GB2312" w:eastAsia="仿宋_GB2312" w:cs="仿宋_GB2312"/>
          <w:sz w:val="24"/>
          <w:szCs w:val="24"/>
          <w:highlight w:val="none"/>
        </w:rPr>
        <w:t>法定代表人（签字）：</w:t>
      </w:r>
    </w:p>
    <w:p w14:paraId="4B0887B4">
      <w:pPr>
        <w:widowControl/>
        <w:autoSpaceDE w:val="0"/>
        <w:autoSpaceDN w:val="0"/>
        <w:adjustRightInd w:val="0"/>
        <w:ind w:right="-481" w:firstLine="5400"/>
        <w:rPr>
          <w:rStyle w:val="15"/>
          <w:rFonts w:hint="eastAsia" w:ascii="仿宋_GB2312" w:hAnsi="仿宋_GB2312" w:eastAsia="仿宋_GB2312" w:cs="仿宋_GB2312"/>
          <w:sz w:val="24"/>
          <w:szCs w:val="24"/>
          <w:highlight w:val="none"/>
        </w:rPr>
      </w:pPr>
      <w:r>
        <w:rPr>
          <w:rStyle w:val="15"/>
          <w:rFonts w:hint="eastAsia" w:ascii="仿宋_GB2312" w:hAnsi="仿宋_GB2312" w:eastAsia="仿宋_GB2312" w:cs="仿宋_GB2312"/>
          <w:sz w:val="24"/>
          <w:szCs w:val="24"/>
          <w:highlight w:val="none"/>
        </w:rPr>
        <w:t>日 期：      年   月   日</w:t>
      </w:r>
    </w:p>
    <w:p w14:paraId="20DBED10">
      <w:pPr>
        <w:widowControl/>
        <w:autoSpaceDE w:val="0"/>
        <w:autoSpaceDN w:val="0"/>
        <w:adjustRightInd w:val="0"/>
        <w:ind w:right="-481"/>
        <w:rPr>
          <w:rStyle w:val="15"/>
          <w:rFonts w:hint="eastAsia" w:ascii="仿宋_GB2312" w:hAnsi="仿宋_GB2312" w:eastAsia="仿宋_GB2312" w:cs="仿宋_GB2312"/>
          <w:sz w:val="24"/>
          <w:szCs w:val="24"/>
          <w:highlight w:val="none"/>
        </w:rPr>
      </w:pPr>
      <w:r>
        <w:rPr>
          <w:rFonts w:hint="eastAsia" w:ascii="仿宋_GB2312" w:hAnsi="仿宋_GB2312" w:eastAsia="仿宋_GB2312" w:cs="仿宋_GB2312"/>
          <w:szCs w:val="21"/>
          <w:highlight w:val="none"/>
        </w:rPr>
        <w:br w:type="page"/>
      </w:r>
      <w:r>
        <w:rPr>
          <w:rStyle w:val="15"/>
          <w:rFonts w:hint="eastAsia" w:ascii="仿宋_GB2312" w:hAnsi="仿宋_GB2312" w:eastAsia="仿宋_GB2312" w:cs="仿宋_GB2312"/>
          <w:sz w:val="24"/>
          <w:szCs w:val="24"/>
          <w:highlight w:val="none"/>
        </w:rPr>
        <w:t>附件5：</w:t>
      </w:r>
    </w:p>
    <w:p w14:paraId="3F74D803">
      <w:pPr>
        <w:widowControl/>
        <w:autoSpaceDE w:val="0"/>
        <w:autoSpaceDN w:val="0"/>
        <w:adjustRightInd w:val="0"/>
        <w:ind w:right="-481"/>
        <w:jc w:val="center"/>
        <w:rPr>
          <w:rFonts w:hint="eastAsia" w:ascii="仿宋_GB2312" w:hAnsi="仿宋_GB2312" w:eastAsia="仿宋_GB2312" w:cs="仿宋_GB2312"/>
          <w:kern w:val="1"/>
          <w:sz w:val="28"/>
          <w:szCs w:val="28"/>
          <w:highlight w:val="none"/>
        </w:rPr>
      </w:pPr>
      <w:r>
        <w:rPr>
          <w:rFonts w:hint="eastAsia" w:ascii="仿宋_GB2312" w:hAnsi="仿宋_GB2312" w:eastAsia="仿宋_GB2312" w:cs="仿宋_GB2312"/>
          <w:kern w:val="1"/>
          <w:sz w:val="28"/>
          <w:szCs w:val="28"/>
          <w:highlight w:val="none"/>
        </w:rPr>
        <w:t>供应商同类项目实施情况一览表</w:t>
      </w:r>
    </w:p>
    <w:p w14:paraId="5DBD3824">
      <w:pPr>
        <w:widowControl/>
        <w:autoSpaceDE w:val="0"/>
        <w:autoSpaceDN w:val="0"/>
        <w:adjustRightInd w:val="0"/>
        <w:ind w:right="-481"/>
        <w:jc w:val="center"/>
        <w:rPr>
          <w:rFonts w:hint="eastAsia" w:ascii="仿宋_GB2312" w:hAnsi="仿宋_GB2312" w:eastAsia="仿宋_GB2312" w:cs="仿宋_GB2312"/>
          <w:kern w:val="1"/>
          <w:sz w:val="28"/>
          <w:szCs w:val="28"/>
          <w:highlight w:val="none"/>
        </w:rPr>
      </w:pPr>
    </w:p>
    <w:tbl>
      <w:tblPr>
        <w:tblStyle w:val="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1484"/>
        <w:gridCol w:w="906"/>
        <w:gridCol w:w="850"/>
        <w:gridCol w:w="1276"/>
        <w:gridCol w:w="2126"/>
        <w:gridCol w:w="1985"/>
      </w:tblGrid>
      <w:tr w14:paraId="12AE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Merge w:val="restart"/>
            <w:tcMar>
              <w:top w:w="100" w:type="dxa"/>
              <w:right w:w="100" w:type="dxa"/>
            </w:tcMar>
            <w:vAlign w:val="center"/>
          </w:tcPr>
          <w:p w14:paraId="178A3625">
            <w:pPr>
              <w:widowControl/>
              <w:autoSpaceDE w:val="0"/>
              <w:autoSpaceDN w:val="0"/>
              <w:adjustRightInd w:val="0"/>
              <w:jc w:val="center"/>
              <w:rPr>
                <w:rStyle w:val="15"/>
                <w:rFonts w:hint="eastAsia" w:ascii="仿宋_GB2312" w:hAnsi="仿宋_GB2312" w:eastAsia="仿宋_GB2312" w:cs="仿宋_GB2312"/>
                <w:sz w:val="24"/>
                <w:szCs w:val="24"/>
                <w:highlight w:val="none"/>
              </w:rPr>
            </w:pPr>
            <w:r>
              <w:rPr>
                <w:rStyle w:val="15"/>
                <w:rFonts w:hint="eastAsia" w:ascii="仿宋_GB2312" w:hAnsi="仿宋_GB2312" w:eastAsia="仿宋_GB2312" w:cs="仿宋_GB2312"/>
                <w:sz w:val="24"/>
                <w:szCs w:val="24"/>
                <w:highlight w:val="none"/>
              </w:rPr>
              <w:t>采购人名称</w:t>
            </w:r>
          </w:p>
        </w:tc>
        <w:tc>
          <w:tcPr>
            <w:tcW w:w="1484" w:type="dxa"/>
            <w:vMerge w:val="restart"/>
            <w:tcMar>
              <w:top w:w="100" w:type="dxa"/>
              <w:right w:w="100" w:type="dxa"/>
            </w:tcMar>
            <w:vAlign w:val="center"/>
          </w:tcPr>
          <w:p w14:paraId="4B18A3D1">
            <w:pPr>
              <w:widowControl/>
              <w:autoSpaceDE w:val="0"/>
              <w:autoSpaceDN w:val="0"/>
              <w:adjustRightInd w:val="0"/>
              <w:jc w:val="center"/>
              <w:rPr>
                <w:rStyle w:val="15"/>
                <w:rFonts w:hint="eastAsia" w:ascii="仿宋_GB2312" w:hAnsi="仿宋_GB2312" w:eastAsia="仿宋_GB2312" w:cs="仿宋_GB2312"/>
                <w:sz w:val="24"/>
                <w:szCs w:val="24"/>
                <w:highlight w:val="none"/>
              </w:rPr>
            </w:pPr>
            <w:r>
              <w:rPr>
                <w:rStyle w:val="15"/>
                <w:rFonts w:hint="eastAsia" w:ascii="仿宋_GB2312" w:hAnsi="仿宋_GB2312" w:eastAsia="仿宋_GB2312" w:cs="仿宋_GB2312"/>
                <w:sz w:val="24"/>
                <w:szCs w:val="24"/>
                <w:highlight w:val="none"/>
              </w:rPr>
              <w:t>项目名称</w:t>
            </w:r>
          </w:p>
        </w:tc>
        <w:tc>
          <w:tcPr>
            <w:tcW w:w="906" w:type="dxa"/>
            <w:vMerge w:val="restart"/>
            <w:tcMar>
              <w:top w:w="100" w:type="dxa"/>
              <w:right w:w="100" w:type="dxa"/>
            </w:tcMar>
            <w:vAlign w:val="center"/>
          </w:tcPr>
          <w:p w14:paraId="1F310EC5">
            <w:pPr>
              <w:widowControl/>
              <w:autoSpaceDE w:val="0"/>
              <w:autoSpaceDN w:val="0"/>
              <w:adjustRightInd w:val="0"/>
              <w:jc w:val="center"/>
              <w:rPr>
                <w:rStyle w:val="15"/>
                <w:rFonts w:hint="eastAsia" w:ascii="仿宋_GB2312" w:hAnsi="仿宋_GB2312" w:eastAsia="仿宋_GB2312" w:cs="仿宋_GB2312"/>
                <w:sz w:val="24"/>
                <w:szCs w:val="24"/>
                <w:highlight w:val="none"/>
              </w:rPr>
            </w:pPr>
            <w:r>
              <w:rPr>
                <w:rStyle w:val="15"/>
                <w:rFonts w:hint="eastAsia" w:ascii="仿宋_GB2312" w:hAnsi="仿宋_GB2312" w:eastAsia="仿宋_GB2312" w:cs="仿宋_GB2312"/>
                <w:sz w:val="24"/>
                <w:szCs w:val="24"/>
                <w:highlight w:val="none"/>
              </w:rPr>
              <w:t>采购数量</w:t>
            </w:r>
          </w:p>
        </w:tc>
        <w:tc>
          <w:tcPr>
            <w:tcW w:w="850" w:type="dxa"/>
            <w:vMerge w:val="restart"/>
            <w:tcMar>
              <w:top w:w="100" w:type="dxa"/>
              <w:right w:w="100" w:type="dxa"/>
            </w:tcMar>
            <w:vAlign w:val="center"/>
          </w:tcPr>
          <w:p w14:paraId="085805FC">
            <w:pPr>
              <w:widowControl/>
              <w:autoSpaceDE w:val="0"/>
              <w:autoSpaceDN w:val="0"/>
              <w:adjustRightInd w:val="0"/>
              <w:jc w:val="center"/>
              <w:rPr>
                <w:rStyle w:val="15"/>
                <w:rFonts w:hint="eastAsia" w:ascii="仿宋_GB2312" w:hAnsi="仿宋_GB2312" w:eastAsia="仿宋_GB2312" w:cs="仿宋_GB2312"/>
                <w:sz w:val="24"/>
                <w:szCs w:val="24"/>
                <w:highlight w:val="none"/>
              </w:rPr>
            </w:pPr>
            <w:r>
              <w:rPr>
                <w:rStyle w:val="15"/>
                <w:rFonts w:hint="eastAsia" w:ascii="仿宋_GB2312" w:hAnsi="仿宋_GB2312" w:eastAsia="仿宋_GB2312" w:cs="仿宋_GB2312"/>
                <w:sz w:val="24"/>
                <w:szCs w:val="24"/>
                <w:highlight w:val="none"/>
              </w:rPr>
              <w:t>单价</w:t>
            </w:r>
          </w:p>
        </w:tc>
        <w:tc>
          <w:tcPr>
            <w:tcW w:w="1276" w:type="dxa"/>
            <w:vMerge w:val="restart"/>
            <w:tcMar>
              <w:top w:w="100" w:type="dxa"/>
              <w:right w:w="100" w:type="dxa"/>
            </w:tcMar>
            <w:vAlign w:val="center"/>
          </w:tcPr>
          <w:p w14:paraId="29469702">
            <w:pPr>
              <w:widowControl/>
              <w:autoSpaceDE w:val="0"/>
              <w:autoSpaceDN w:val="0"/>
              <w:adjustRightInd w:val="0"/>
              <w:jc w:val="center"/>
              <w:rPr>
                <w:rStyle w:val="15"/>
                <w:rFonts w:hint="eastAsia" w:ascii="仿宋_GB2312" w:hAnsi="仿宋_GB2312" w:eastAsia="仿宋_GB2312" w:cs="仿宋_GB2312"/>
                <w:sz w:val="24"/>
                <w:szCs w:val="24"/>
                <w:highlight w:val="none"/>
              </w:rPr>
            </w:pPr>
            <w:r>
              <w:rPr>
                <w:rStyle w:val="15"/>
                <w:rFonts w:hint="eastAsia" w:ascii="仿宋_GB2312" w:hAnsi="仿宋_GB2312" w:eastAsia="仿宋_GB2312" w:cs="仿宋_GB2312"/>
                <w:sz w:val="24"/>
                <w:szCs w:val="24"/>
                <w:highlight w:val="none"/>
              </w:rPr>
              <w:t>合同</w:t>
            </w:r>
          </w:p>
          <w:p w14:paraId="4F66B7A1">
            <w:pPr>
              <w:widowControl/>
              <w:autoSpaceDE w:val="0"/>
              <w:autoSpaceDN w:val="0"/>
              <w:adjustRightInd w:val="0"/>
              <w:jc w:val="center"/>
              <w:rPr>
                <w:rStyle w:val="15"/>
                <w:rFonts w:hint="eastAsia" w:ascii="仿宋_GB2312" w:hAnsi="仿宋_GB2312" w:eastAsia="仿宋_GB2312" w:cs="仿宋_GB2312"/>
                <w:sz w:val="24"/>
                <w:szCs w:val="24"/>
                <w:highlight w:val="none"/>
              </w:rPr>
            </w:pPr>
            <w:r>
              <w:rPr>
                <w:rStyle w:val="15"/>
                <w:rFonts w:hint="eastAsia" w:ascii="仿宋_GB2312" w:hAnsi="仿宋_GB2312" w:eastAsia="仿宋_GB2312" w:cs="仿宋_GB2312"/>
                <w:sz w:val="24"/>
                <w:szCs w:val="24"/>
                <w:highlight w:val="none"/>
              </w:rPr>
              <w:t>金额</w:t>
            </w:r>
          </w:p>
          <w:p w14:paraId="47736F6F">
            <w:pPr>
              <w:widowControl/>
              <w:autoSpaceDE w:val="0"/>
              <w:autoSpaceDN w:val="0"/>
              <w:adjustRightInd w:val="0"/>
              <w:jc w:val="center"/>
              <w:rPr>
                <w:rStyle w:val="15"/>
                <w:rFonts w:hint="eastAsia" w:ascii="仿宋_GB2312" w:hAnsi="仿宋_GB2312" w:eastAsia="仿宋_GB2312" w:cs="仿宋_GB2312"/>
                <w:sz w:val="24"/>
                <w:szCs w:val="24"/>
                <w:highlight w:val="none"/>
              </w:rPr>
            </w:pPr>
            <w:r>
              <w:rPr>
                <w:rStyle w:val="15"/>
                <w:rFonts w:hint="eastAsia" w:ascii="仿宋_GB2312" w:hAnsi="仿宋_GB2312" w:eastAsia="仿宋_GB2312" w:cs="仿宋_GB2312"/>
                <w:sz w:val="24"/>
                <w:szCs w:val="24"/>
                <w:highlight w:val="none"/>
              </w:rPr>
              <w:t>（万元）</w:t>
            </w:r>
          </w:p>
        </w:tc>
        <w:tc>
          <w:tcPr>
            <w:tcW w:w="4111" w:type="dxa"/>
            <w:gridSpan w:val="2"/>
            <w:tcMar>
              <w:top w:w="100" w:type="dxa"/>
              <w:right w:w="100" w:type="dxa"/>
            </w:tcMar>
            <w:vAlign w:val="center"/>
          </w:tcPr>
          <w:p w14:paraId="60437FE8">
            <w:pPr>
              <w:widowControl/>
              <w:autoSpaceDE w:val="0"/>
              <w:autoSpaceDN w:val="0"/>
              <w:adjustRightInd w:val="0"/>
              <w:jc w:val="center"/>
              <w:rPr>
                <w:rStyle w:val="15"/>
                <w:rFonts w:hint="eastAsia" w:ascii="仿宋_GB2312" w:hAnsi="仿宋_GB2312" w:eastAsia="仿宋_GB2312" w:cs="仿宋_GB2312"/>
                <w:sz w:val="24"/>
                <w:szCs w:val="24"/>
                <w:highlight w:val="none"/>
              </w:rPr>
            </w:pPr>
            <w:r>
              <w:rPr>
                <w:rStyle w:val="15"/>
                <w:rFonts w:hint="eastAsia" w:ascii="仿宋_GB2312" w:hAnsi="仿宋_GB2312" w:eastAsia="仿宋_GB2312" w:cs="仿宋_GB2312"/>
                <w:sz w:val="24"/>
                <w:szCs w:val="24"/>
                <w:highlight w:val="none"/>
              </w:rPr>
              <w:t>附件页码</w:t>
            </w:r>
          </w:p>
        </w:tc>
      </w:tr>
      <w:tr w14:paraId="58BBA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Merge w:val="continue"/>
            <w:tcMar>
              <w:top w:w="100" w:type="dxa"/>
              <w:right w:w="100" w:type="dxa"/>
            </w:tcMar>
            <w:vAlign w:val="center"/>
          </w:tcPr>
          <w:p w14:paraId="74DD90AF">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1484" w:type="dxa"/>
            <w:vMerge w:val="continue"/>
            <w:tcMar>
              <w:top w:w="100" w:type="dxa"/>
              <w:right w:w="100" w:type="dxa"/>
            </w:tcMar>
            <w:vAlign w:val="center"/>
          </w:tcPr>
          <w:p w14:paraId="5DF9B25C">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906" w:type="dxa"/>
            <w:vMerge w:val="continue"/>
            <w:tcMar>
              <w:top w:w="100" w:type="dxa"/>
              <w:right w:w="100" w:type="dxa"/>
            </w:tcMar>
            <w:vAlign w:val="center"/>
          </w:tcPr>
          <w:p w14:paraId="3C9D83B9">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850" w:type="dxa"/>
            <w:vMerge w:val="continue"/>
            <w:tcMar>
              <w:top w:w="100" w:type="dxa"/>
              <w:right w:w="100" w:type="dxa"/>
            </w:tcMar>
            <w:vAlign w:val="center"/>
          </w:tcPr>
          <w:p w14:paraId="5EDC3C9D">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1276" w:type="dxa"/>
            <w:vMerge w:val="continue"/>
            <w:tcMar>
              <w:top w:w="100" w:type="dxa"/>
              <w:right w:w="100" w:type="dxa"/>
            </w:tcMar>
            <w:vAlign w:val="center"/>
          </w:tcPr>
          <w:p w14:paraId="1C1FADFF">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2126" w:type="dxa"/>
            <w:tcMar>
              <w:top w:w="100" w:type="dxa"/>
              <w:right w:w="100" w:type="dxa"/>
            </w:tcMar>
            <w:vAlign w:val="center"/>
          </w:tcPr>
          <w:p w14:paraId="20631613">
            <w:pPr>
              <w:widowControl/>
              <w:autoSpaceDE w:val="0"/>
              <w:autoSpaceDN w:val="0"/>
              <w:adjustRightInd w:val="0"/>
              <w:jc w:val="center"/>
              <w:rPr>
                <w:rFonts w:hint="eastAsia" w:ascii="仿宋_GB2312" w:hAnsi="仿宋_GB2312" w:eastAsia="仿宋_GB2312" w:cs="仿宋_GB2312"/>
                <w:kern w:val="1"/>
                <w:sz w:val="24"/>
                <w:szCs w:val="24"/>
                <w:highlight w:val="none"/>
              </w:rPr>
            </w:pPr>
            <w:r>
              <w:rPr>
                <w:rFonts w:hint="eastAsia" w:ascii="仿宋_GB2312" w:hAnsi="仿宋_GB2312" w:eastAsia="仿宋_GB2312" w:cs="仿宋_GB2312"/>
                <w:kern w:val="1"/>
                <w:sz w:val="24"/>
                <w:szCs w:val="24"/>
                <w:highlight w:val="none"/>
              </w:rPr>
              <w:t>成交</w:t>
            </w:r>
          </w:p>
          <w:p w14:paraId="31EB689A">
            <w:pPr>
              <w:widowControl/>
              <w:autoSpaceDE w:val="0"/>
              <w:autoSpaceDN w:val="0"/>
              <w:adjustRightInd w:val="0"/>
              <w:jc w:val="center"/>
              <w:rPr>
                <w:rFonts w:hint="eastAsia" w:ascii="仿宋_GB2312" w:hAnsi="仿宋_GB2312" w:eastAsia="仿宋_GB2312" w:cs="仿宋_GB2312"/>
                <w:kern w:val="1"/>
                <w:sz w:val="24"/>
                <w:szCs w:val="24"/>
                <w:highlight w:val="none"/>
              </w:rPr>
            </w:pPr>
            <w:r>
              <w:rPr>
                <w:rFonts w:hint="eastAsia" w:ascii="仿宋_GB2312" w:hAnsi="仿宋_GB2312" w:eastAsia="仿宋_GB2312" w:cs="仿宋_GB2312"/>
                <w:kern w:val="1"/>
                <w:sz w:val="24"/>
                <w:szCs w:val="24"/>
                <w:highlight w:val="none"/>
              </w:rPr>
              <w:t>通知书</w:t>
            </w:r>
          </w:p>
        </w:tc>
        <w:tc>
          <w:tcPr>
            <w:tcW w:w="1985" w:type="dxa"/>
            <w:tcMar>
              <w:top w:w="100" w:type="dxa"/>
              <w:right w:w="100" w:type="dxa"/>
            </w:tcMar>
            <w:vAlign w:val="center"/>
          </w:tcPr>
          <w:p w14:paraId="2DC00D5D">
            <w:pPr>
              <w:widowControl/>
              <w:autoSpaceDE w:val="0"/>
              <w:autoSpaceDN w:val="0"/>
              <w:adjustRightInd w:val="0"/>
              <w:jc w:val="center"/>
              <w:rPr>
                <w:rStyle w:val="15"/>
                <w:rFonts w:hint="eastAsia" w:ascii="仿宋_GB2312" w:hAnsi="仿宋_GB2312" w:eastAsia="仿宋_GB2312" w:cs="仿宋_GB2312"/>
                <w:sz w:val="24"/>
                <w:szCs w:val="24"/>
                <w:highlight w:val="none"/>
              </w:rPr>
            </w:pPr>
            <w:r>
              <w:rPr>
                <w:rFonts w:hint="eastAsia" w:ascii="仿宋_GB2312" w:hAnsi="仿宋_GB2312" w:eastAsia="仿宋_GB2312" w:cs="仿宋_GB2312"/>
                <w:kern w:val="1"/>
                <w:sz w:val="24"/>
                <w:szCs w:val="24"/>
                <w:highlight w:val="none"/>
              </w:rPr>
              <w:t>合同</w:t>
            </w:r>
          </w:p>
        </w:tc>
      </w:tr>
      <w:tr w14:paraId="22CCD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Mar>
              <w:top w:w="100" w:type="dxa"/>
              <w:right w:w="100" w:type="dxa"/>
            </w:tcMar>
            <w:vAlign w:val="center"/>
          </w:tcPr>
          <w:p w14:paraId="514887E4">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1484" w:type="dxa"/>
            <w:tcMar>
              <w:top w:w="100" w:type="dxa"/>
              <w:right w:w="100" w:type="dxa"/>
            </w:tcMar>
            <w:vAlign w:val="center"/>
          </w:tcPr>
          <w:p w14:paraId="5E6E5D21">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906" w:type="dxa"/>
            <w:tcMar>
              <w:top w:w="100" w:type="dxa"/>
              <w:right w:w="100" w:type="dxa"/>
            </w:tcMar>
            <w:vAlign w:val="center"/>
          </w:tcPr>
          <w:p w14:paraId="35DAF1C9">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850" w:type="dxa"/>
            <w:tcMar>
              <w:top w:w="100" w:type="dxa"/>
              <w:right w:w="100" w:type="dxa"/>
            </w:tcMar>
            <w:vAlign w:val="center"/>
          </w:tcPr>
          <w:p w14:paraId="6FFDD9BF">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1276" w:type="dxa"/>
            <w:tcMar>
              <w:top w:w="100" w:type="dxa"/>
              <w:right w:w="100" w:type="dxa"/>
            </w:tcMar>
            <w:vAlign w:val="center"/>
          </w:tcPr>
          <w:p w14:paraId="094CA288">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2126" w:type="dxa"/>
            <w:tcMar>
              <w:top w:w="100" w:type="dxa"/>
              <w:right w:w="100" w:type="dxa"/>
            </w:tcMar>
            <w:vAlign w:val="center"/>
          </w:tcPr>
          <w:p w14:paraId="23900AFD">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1985" w:type="dxa"/>
            <w:tcMar>
              <w:top w:w="100" w:type="dxa"/>
              <w:right w:w="100" w:type="dxa"/>
            </w:tcMar>
            <w:vAlign w:val="center"/>
          </w:tcPr>
          <w:p w14:paraId="0AFCBF9A">
            <w:pPr>
              <w:widowControl/>
              <w:autoSpaceDE w:val="0"/>
              <w:autoSpaceDN w:val="0"/>
              <w:adjustRightInd w:val="0"/>
              <w:jc w:val="center"/>
              <w:rPr>
                <w:rFonts w:hint="eastAsia" w:ascii="仿宋_GB2312" w:hAnsi="仿宋_GB2312" w:eastAsia="仿宋_GB2312" w:cs="仿宋_GB2312"/>
                <w:kern w:val="1"/>
                <w:sz w:val="24"/>
                <w:szCs w:val="24"/>
                <w:highlight w:val="none"/>
              </w:rPr>
            </w:pPr>
          </w:p>
        </w:tc>
      </w:tr>
      <w:tr w14:paraId="12CFE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Mar>
              <w:top w:w="100" w:type="dxa"/>
              <w:right w:w="100" w:type="dxa"/>
            </w:tcMar>
            <w:vAlign w:val="center"/>
          </w:tcPr>
          <w:p w14:paraId="1DC433D7">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1484" w:type="dxa"/>
            <w:tcMar>
              <w:top w:w="100" w:type="dxa"/>
              <w:right w:w="100" w:type="dxa"/>
            </w:tcMar>
            <w:vAlign w:val="center"/>
          </w:tcPr>
          <w:p w14:paraId="3604D1F4">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906" w:type="dxa"/>
            <w:tcMar>
              <w:top w:w="100" w:type="dxa"/>
              <w:right w:w="100" w:type="dxa"/>
            </w:tcMar>
            <w:vAlign w:val="center"/>
          </w:tcPr>
          <w:p w14:paraId="519516C6">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850" w:type="dxa"/>
            <w:tcMar>
              <w:top w:w="100" w:type="dxa"/>
              <w:right w:w="100" w:type="dxa"/>
            </w:tcMar>
            <w:vAlign w:val="center"/>
          </w:tcPr>
          <w:p w14:paraId="6E903D40">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1276" w:type="dxa"/>
            <w:tcMar>
              <w:top w:w="100" w:type="dxa"/>
              <w:right w:w="100" w:type="dxa"/>
            </w:tcMar>
            <w:vAlign w:val="center"/>
          </w:tcPr>
          <w:p w14:paraId="6559A630">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2126" w:type="dxa"/>
            <w:tcMar>
              <w:top w:w="100" w:type="dxa"/>
              <w:right w:w="100" w:type="dxa"/>
            </w:tcMar>
            <w:vAlign w:val="center"/>
          </w:tcPr>
          <w:p w14:paraId="3713742F">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1985" w:type="dxa"/>
            <w:tcMar>
              <w:top w:w="100" w:type="dxa"/>
              <w:right w:w="100" w:type="dxa"/>
            </w:tcMar>
            <w:vAlign w:val="center"/>
          </w:tcPr>
          <w:p w14:paraId="7F1D83DD">
            <w:pPr>
              <w:widowControl/>
              <w:autoSpaceDE w:val="0"/>
              <w:autoSpaceDN w:val="0"/>
              <w:adjustRightInd w:val="0"/>
              <w:jc w:val="center"/>
              <w:rPr>
                <w:rFonts w:hint="eastAsia" w:ascii="仿宋_GB2312" w:hAnsi="仿宋_GB2312" w:eastAsia="仿宋_GB2312" w:cs="仿宋_GB2312"/>
                <w:kern w:val="1"/>
                <w:sz w:val="24"/>
                <w:szCs w:val="24"/>
                <w:highlight w:val="none"/>
              </w:rPr>
            </w:pPr>
          </w:p>
        </w:tc>
      </w:tr>
      <w:tr w14:paraId="16C2C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Mar>
              <w:top w:w="100" w:type="dxa"/>
              <w:right w:w="100" w:type="dxa"/>
            </w:tcMar>
            <w:vAlign w:val="center"/>
          </w:tcPr>
          <w:p w14:paraId="11F060EE">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1484" w:type="dxa"/>
            <w:tcMar>
              <w:top w:w="100" w:type="dxa"/>
              <w:right w:w="100" w:type="dxa"/>
            </w:tcMar>
            <w:vAlign w:val="center"/>
          </w:tcPr>
          <w:p w14:paraId="6259D3C4">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906" w:type="dxa"/>
            <w:tcMar>
              <w:top w:w="100" w:type="dxa"/>
              <w:right w:w="100" w:type="dxa"/>
            </w:tcMar>
            <w:vAlign w:val="center"/>
          </w:tcPr>
          <w:p w14:paraId="5B644B95">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850" w:type="dxa"/>
            <w:tcMar>
              <w:top w:w="100" w:type="dxa"/>
              <w:right w:w="100" w:type="dxa"/>
            </w:tcMar>
            <w:vAlign w:val="center"/>
          </w:tcPr>
          <w:p w14:paraId="65F3FA3F">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1276" w:type="dxa"/>
            <w:tcMar>
              <w:top w:w="100" w:type="dxa"/>
              <w:right w:w="100" w:type="dxa"/>
            </w:tcMar>
            <w:vAlign w:val="center"/>
          </w:tcPr>
          <w:p w14:paraId="241034E9">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2126" w:type="dxa"/>
            <w:tcMar>
              <w:top w:w="100" w:type="dxa"/>
              <w:right w:w="100" w:type="dxa"/>
            </w:tcMar>
            <w:vAlign w:val="center"/>
          </w:tcPr>
          <w:p w14:paraId="54F2EC62">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1985" w:type="dxa"/>
            <w:tcMar>
              <w:top w:w="100" w:type="dxa"/>
              <w:right w:w="100" w:type="dxa"/>
            </w:tcMar>
            <w:vAlign w:val="center"/>
          </w:tcPr>
          <w:p w14:paraId="2C4BBCF1">
            <w:pPr>
              <w:widowControl/>
              <w:autoSpaceDE w:val="0"/>
              <w:autoSpaceDN w:val="0"/>
              <w:adjustRightInd w:val="0"/>
              <w:jc w:val="center"/>
              <w:rPr>
                <w:rFonts w:hint="eastAsia" w:ascii="仿宋_GB2312" w:hAnsi="仿宋_GB2312" w:eastAsia="仿宋_GB2312" w:cs="仿宋_GB2312"/>
                <w:kern w:val="1"/>
                <w:sz w:val="24"/>
                <w:szCs w:val="24"/>
                <w:highlight w:val="none"/>
              </w:rPr>
            </w:pPr>
          </w:p>
        </w:tc>
      </w:tr>
      <w:tr w14:paraId="6D180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Mar>
              <w:top w:w="100" w:type="dxa"/>
              <w:right w:w="100" w:type="dxa"/>
            </w:tcMar>
            <w:vAlign w:val="center"/>
          </w:tcPr>
          <w:p w14:paraId="307F6EEE">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1484" w:type="dxa"/>
            <w:tcMar>
              <w:top w:w="100" w:type="dxa"/>
              <w:right w:w="100" w:type="dxa"/>
            </w:tcMar>
            <w:vAlign w:val="center"/>
          </w:tcPr>
          <w:p w14:paraId="5566BB45">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906" w:type="dxa"/>
            <w:tcMar>
              <w:top w:w="100" w:type="dxa"/>
              <w:right w:w="100" w:type="dxa"/>
            </w:tcMar>
            <w:vAlign w:val="center"/>
          </w:tcPr>
          <w:p w14:paraId="1EAEA93A">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850" w:type="dxa"/>
            <w:tcMar>
              <w:top w:w="100" w:type="dxa"/>
              <w:right w:w="100" w:type="dxa"/>
            </w:tcMar>
            <w:vAlign w:val="center"/>
          </w:tcPr>
          <w:p w14:paraId="351A9714">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1276" w:type="dxa"/>
            <w:tcMar>
              <w:top w:w="100" w:type="dxa"/>
              <w:right w:w="100" w:type="dxa"/>
            </w:tcMar>
            <w:vAlign w:val="center"/>
          </w:tcPr>
          <w:p w14:paraId="06DFBBCD">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2126" w:type="dxa"/>
            <w:tcMar>
              <w:top w:w="100" w:type="dxa"/>
              <w:right w:w="100" w:type="dxa"/>
            </w:tcMar>
            <w:vAlign w:val="center"/>
          </w:tcPr>
          <w:p w14:paraId="745A7A3A">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1985" w:type="dxa"/>
            <w:tcMar>
              <w:top w:w="100" w:type="dxa"/>
              <w:right w:w="100" w:type="dxa"/>
            </w:tcMar>
            <w:vAlign w:val="center"/>
          </w:tcPr>
          <w:p w14:paraId="48A783A4">
            <w:pPr>
              <w:widowControl/>
              <w:autoSpaceDE w:val="0"/>
              <w:autoSpaceDN w:val="0"/>
              <w:adjustRightInd w:val="0"/>
              <w:jc w:val="center"/>
              <w:rPr>
                <w:rFonts w:hint="eastAsia" w:ascii="仿宋_GB2312" w:hAnsi="仿宋_GB2312" w:eastAsia="仿宋_GB2312" w:cs="仿宋_GB2312"/>
                <w:kern w:val="1"/>
                <w:sz w:val="24"/>
                <w:szCs w:val="24"/>
                <w:highlight w:val="none"/>
              </w:rPr>
            </w:pPr>
          </w:p>
        </w:tc>
      </w:tr>
      <w:tr w14:paraId="65BF5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Mar>
              <w:top w:w="100" w:type="dxa"/>
              <w:right w:w="100" w:type="dxa"/>
            </w:tcMar>
            <w:vAlign w:val="center"/>
          </w:tcPr>
          <w:p w14:paraId="3F729C59">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1484" w:type="dxa"/>
            <w:tcMar>
              <w:top w:w="100" w:type="dxa"/>
              <w:right w:w="100" w:type="dxa"/>
            </w:tcMar>
            <w:vAlign w:val="center"/>
          </w:tcPr>
          <w:p w14:paraId="6C757CF2">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906" w:type="dxa"/>
            <w:tcMar>
              <w:top w:w="100" w:type="dxa"/>
              <w:right w:w="100" w:type="dxa"/>
            </w:tcMar>
            <w:vAlign w:val="center"/>
          </w:tcPr>
          <w:p w14:paraId="44D6000D">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850" w:type="dxa"/>
            <w:tcMar>
              <w:top w:w="100" w:type="dxa"/>
              <w:right w:w="100" w:type="dxa"/>
            </w:tcMar>
            <w:vAlign w:val="center"/>
          </w:tcPr>
          <w:p w14:paraId="3BD1A4C9">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1276" w:type="dxa"/>
            <w:tcMar>
              <w:top w:w="100" w:type="dxa"/>
              <w:right w:w="100" w:type="dxa"/>
            </w:tcMar>
            <w:vAlign w:val="center"/>
          </w:tcPr>
          <w:p w14:paraId="4A68A5A4">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2126" w:type="dxa"/>
            <w:tcMar>
              <w:top w:w="100" w:type="dxa"/>
              <w:right w:w="100" w:type="dxa"/>
            </w:tcMar>
            <w:vAlign w:val="center"/>
          </w:tcPr>
          <w:p w14:paraId="72DC1914">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1985" w:type="dxa"/>
            <w:tcMar>
              <w:top w:w="100" w:type="dxa"/>
              <w:right w:w="100" w:type="dxa"/>
            </w:tcMar>
            <w:vAlign w:val="center"/>
          </w:tcPr>
          <w:p w14:paraId="71407081">
            <w:pPr>
              <w:widowControl/>
              <w:autoSpaceDE w:val="0"/>
              <w:autoSpaceDN w:val="0"/>
              <w:adjustRightInd w:val="0"/>
              <w:jc w:val="center"/>
              <w:rPr>
                <w:rFonts w:hint="eastAsia" w:ascii="仿宋_GB2312" w:hAnsi="仿宋_GB2312" w:eastAsia="仿宋_GB2312" w:cs="仿宋_GB2312"/>
                <w:kern w:val="1"/>
                <w:sz w:val="24"/>
                <w:szCs w:val="24"/>
                <w:highlight w:val="none"/>
              </w:rPr>
            </w:pPr>
          </w:p>
        </w:tc>
      </w:tr>
      <w:tr w14:paraId="0E54D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Mar>
              <w:top w:w="100" w:type="dxa"/>
              <w:right w:w="100" w:type="dxa"/>
            </w:tcMar>
            <w:vAlign w:val="center"/>
          </w:tcPr>
          <w:p w14:paraId="46D6C21F">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1484" w:type="dxa"/>
            <w:tcMar>
              <w:top w:w="100" w:type="dxa"/>
              <w:right w:w="100" w:type="dxa"/>
            </w:tcMar>
            <w:vAlign w:val="center"/>
          </w:tcPr>
          <w:p w14:paraId="179B0314">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906" w:type="dxa"/>
            <w:tcMar>
              <w:top w:w="100" w:type="dxa"/>
              <w:right w:w="100" w:type="dxa"/>
            </w:tcMar>
            <w:vAlign w:val="center"/>
          </w:tcPr>
          <w:p w14:paraId="48B882A3">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850" w:type="dxa"/>
            <w:tcMar>
              <w:top w:w="100" w:type="dxa"/>
              <w:right w:w="100" w:type="dxa"/>
            </w:tcMar>
            <w:vAlign w:val="center"/>
          </w:tcPr>
          <w:p w14:paraId="384B7A25">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1276" w:type="dxa"/>
            <w:tcMar>
              <w:top w:w="100" w:type="dxa"/>
              <w:right w:w="100" w:type="dxa"/>
            </w:tcMar>
            <w:vAlign w:val="center"/>
          </w:tcPr>
          <w:p w14:paraId="5BA5A8FC">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2126" w:type="dxa"/>
            <w:tcMar>
              <w:top w:w="100" w:type="dxa"/>
              <w:right w:w="100" w:type="dxa"/>
            </w:tcMar>
            <w:vAlign w:val="center"/>
          </w:tcPr>
          <w:p w14:paraId="16E6E49C">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1985" w:type="dxa"/>
            <w:tcMar>
              <w:top w:w="100" w:type="dxa"/>
              <w:right w:w="100" w:type="dxa"/>
            </w:tcMar>
            <w:vAlign w:val="center"/>
          </w:tcPr>
          <w:p w14:paraId="1ED2E27F">
            <w:pPr>
              <w:widowControl/>
              <w:autoSpaceDE w:val="0"/>
              <w:autoSpaceDN w:val="0"/>
              <w:adjustRightInd w:val="0"/>
              <w:jc w:val="center"/>
              <w:rPr>
                <w:rFonts w:hint="eastAsia" w:ascii="仿宋_GB2312" w:hAnsi="仿宋_GB2312" w:eastAsia="仿宋_GB2312" w:cs="仿宋_GB2312"/>
                <w:kern w:val="1"/>
                <w:sz w:val="24"/>
                <w:szCs w:val="24"/>
                <w:highlight w:val="none"/>
              </w:rPr>
            </w:pPr>
          </w:p>
        </w:tc>
      </w:tr>
      <w:tr w14:paraId="0A6BF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Mar>
              <w:top w:w="100" w:type="dxa"/>
              <w:right w:w="100" w:type="dxa"/>
            </w:tcMar>
            <w:vAlign w:val="center"/>
          </w:tcPr>
          <w:p w14:paraId="55B5105F">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1484" w:type="dxa"/>
            <w:tcMar>
              <w:top w:w="100" w:type="dxa"/>
              <w:right w:w="100" w:type="dxa"/>
            </w:tcMar>
            <w:vAlign w:val="center"/>
          </w:tcPr>
          <w:p w14:paraId="186C92BF">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906" w:type="dxa"/>
            <w:tcMar>
              <w:top w:w="100" w:type="dxa"/>
              <w:right w:w="100" w:type="dxa"/>
            </w:tcMar>
            <w:vAlign w:val="center"/>
          </w:tcPr>
          <w:p w14:paraId="51E7B7AA">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850" w:type="dxa"/>
            <w:tcMar>
              <w:top w:w="100" w:type="dxa"/>
              <w:right w:w="100" w:type="dxa"/>
            </w:tcMar>
            <w:vAlign w:val="center"/>
          </w:tcPr>
          <w:p w14:paraId="2A9399FA">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1276" w:type="dxa"/>
            <w:tcMar>
              <w:top w:w="100" w:type="dxa"/>
              <w:right w:w="100" w:type="dxa"/>
            </w:tcMar>
            <w:vAlign w:val="center"/>
          </w:tcPr>
          <w:p w14:paraId="2D9F8336">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2126" w:type="dxa"/>
            <w:tcMar>
              <w:top w:w="100" w:type="dxa"/>
              <w:right w:w="100" w:type="dxa"/>
            </w:tcMar>
            <w:vAlign w:val="center"/>
          </w:tcPr>
          <w:p w14:paraId="2C7F77D4">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1985" w:type="dxa"/>
            <w:tcMar>
              <w:top w:w="100" w:type="dxa"/>
              <w:right w:w="100" w:type="dxa"/>
            </w:tcMar>
            <w:vAlign w:val="center"/>
          </w:tcPr>
          <w:p w14:paraId="17CB9E52">
            <w:pPr>
              <w:widowControl/>
              <w:autoSpaceDE w:val="0"/>
              <w:autoSpaceDN w:val="0"/>
              <w:adjustRightInd w:val="0"/>
              <w:jc w:val="center"/>
              <w:rPr>
                <w:rFonts w:hint="eastAsia" w:ascii="仿宋_GB2312" w:hAnsi="仿宋_GB2312" w:eastAsia="仿宋_GB2312" w:cs="仿宋_GB2312"/>
                <w:kern w:val="1"/>
                <w:sz w:val="24"/>
                <w:szCs w:val="24"/>
                <w:highlight w:val="none"/>
              </w:rPr>
            </w:pPr>
          </w:p>
        </w:tc>
      </w:tr>
      <w:tr w14:paraId="38B31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Mar>
              <w:top w:w="100" w:type="dxa"/>
              <w:right w:w="100" w:type="dxa"/>
            </w:tcMar>
            <w:vAlign w:val="center"/>
          </w:tcPr>
          <w:p w14:paraId="528298C3">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1484" w:type="dxa"/>
            <w:tcMar>
              <w:top w:w="100" w:type="dxa"/>
              <w:right w:w="100" w:type="dxa"/>
            </w:tcMar>
            <w:vAlign w:val="center"/>
          </w:tcPr>
          <w:p w14:paraId="4E560189">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906" w:type="dxa"/>
            <w:tcMar>
              <w:top w:w="100" w:type="dxa"/>
              <w:right w:w="100" w:type="dxa"/>
            </w:tcMar>
            <w:vAlign w:val="center"/>
          </w:tcPr>
          <w:p w14:paraId="10E19134">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850" w:type="dxa"/>
            <w:tcMar>
              <w:top w:w="100" w:type="dxa"/>
              <w:right w:w="100" w:type="dxa"/>
            </w:tcMar>
            <w:vAlign w:val="center"/>
          </w:tcPr>
          <w:p w14:paraId="44464FDA">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1276" w:type="dxa"/>
            <w:tcMar>
              <w:top w:w="100" w:type="dxa"/>
              <w:right w:w="100" w:type="dxa"/>
            </w:tcMar>
            <w:vAlign w:val="center"/>
          </w:tcPr>
          <w:p w14:paraId="07D078F9">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2126" w:type="dxa"/>
            <w:tcMar>
              <w:top w:w="100" w:type="dxa"/>
              <w:right w:w="100" w:type="dxa"/>
            </w:tcMar>
            <w:vAlign w:val="center"/>
          </w:tcPr>
          <w:p w14:paraId="0AF6FA04">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1985" w:type="dxa"/>
            <w:tcMar>
              <w:top w:w="100" w:type="dxa"/>
              <w:right w:w="100" w:type="dxa"/>
            </w:tcMar>
            <w:vAlign w:val="center"/>
          </w:tcPr>
          <w:p w14:paraId="36DEB5A3">
            <w:pPr>
              <w:widowControl/>
              <w:autoSpaceDE w:val="0"/>
              <w:autoSpaceDN w:val="0"/>
              <w:adjustRightInd w:val="0"/>
              <w:jc w:val="center"/>
              <w:rPr>
                <w:rFonts w:hint="eastAsia" w:ascii="仿宋_GB2312" w:hAnsi="仿宋_GB2312" w:eastAsia="仿宋_GB2312" w:cs="仿宋_GB2312"/>
                <w:kern w:val="1"/>
                <w:sz w:val="24"/>
                <w:szCs w:val="24"/>
                <w:highlight w:val="none"/>
              </w:rPr>
            </w:pPr>
          </w:p>
        </w:tc>
      </w:tr>
      <w:tr w14:paraId="69525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Mar>
              <w:top w:w="100" w:type="dxa"/>
              <w:right w:w="100" w:type="dxa"/>
            </w:tcMar>
            <w:vAlign w:val="center"/>
          </w:tcPr>
          <w:p w14:paraId="42383D51">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1484" w:type="dxa"/>
            <w:tcMar>
              <w:top w:w="100" w:type="dxa"/>
              <w:right w:w="100" w:type="dxa"/>
            </w:tcMar>
            <w:vAlign w:val="center"/>
          </w:tcPr>
          <w:p w14:paraId="6E86E1CF">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906" w:type="dxa"/>
            <w:tcMar>
              <w:top w:w="100" w:type="dxa"/>
              <w:right w:w="100" w:type="dxa"/>
            </w:tcMar>
            <w:vAlign w:val="center"/>
          </w:tcPr>
          <w:p w14:paraId="34FA327E">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850" w:type="dxa"/>
            <w:tcMar>
              <w:top w:w="100" w:type="dxa"/>
              <w:right w:w="100" w:type="dxa"/>
            </w:tcMar>
            <w:vAlign w:val="center"/>
          </w:tcPr>
          <w:p w14:paraId="34058C14">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1276" w:type="dxa"/>
            <w:tcMar>
              <w:top w:w="100" w:type="dxa"/>
              <w:right w:w="100" w:type="dxa"/>
            </w:tcMar>
            <w:vAlign w:val="center"/>
          </w:tcPr>
          <w:p w14:paraId="769A1153">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2126" w:type="dxa"/>
            <w:tcMar>
              <w:top w:w="100" w:type="dxa"/>
              <w:right w:w="100" w:type="dxa"/>
            </w:tcMar>
            <w:vAlign w:val="center"/>
          </w:tcPr>
          <w:p w14:paraId="79C4B93D">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1985" w:type="dxa"/>
            <w:tcMar>
              <w:top w:w="100" w:type="dxa"/>
              <w:right w:w="100" w:type="dxa"/>
            </w:tcMar>
            <w:vAlign w:val="center"/>
          </w:tcPr>
          <w:p w14:paraId="06AC393B">
            <w:pPr>
              <w:widowControl/>
              <w:autoSpaceDE w:val="0"/>
              <w:autoSpaceDN w:val="0"/>
              <w:adjustRightInd w:val="0"/>
              <w:jc w:val="center"/>
              <w:rPr>
                <w:rFonts w:hint="eastAsia" w:ascii="仿宋_GB2312" w:hAnsi="仿宋_GB2312" w:eastAsia="仿宋_GB2312" w:cs="仿宋_GB2312"/>
                <w:kern w:val="1"/>
                <w:sz w:val="24"/>
                <w:szCs w:val="24"/>
                <w:highlight w:val="none"/>
              </w:rPr>
            </w:pPr>
          </w:p>
        </w:tc>
      </w:tr>
      <w:tr w14:paraId="6AF7B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Mar>
              <w:top w:w="100" w:type="dxa"/>
              <w:right w:w="100" w:type="dxa"/>
            </w:tcMar>
            <w:vAlign w:val="center"/>
          </w:tcPr>
          <w:p w14:paraId="218D89C7">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1484" w:type="dxa"/>
            <w:tcMar>
              <w:top w:w="100" w:type="dxa"/>
              <w:right w:w="100" w:type="dxa"/>
            </w:tcMar>
            <w:vAlign w:val="center"/>
          </w:tcPr>
          <w:p w14:paraId="6D5E7321">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906" w:type="dxa"/>
            <w:tcMar>
              <w:top w:w="100" w:type="dxa"/>
              <w:right w:w="100" w:type="dxa"/>
            </w:tcMar>
            <w:vAlign w:val="center"/>
          </w:tcPr>
          <w:p w14:paraId="38E19FEA">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850" w:type="dxa"/>
            <w:tcMar>
              <w:top w:w="100" w:type="dxa"/>
              <w:right w:w="100" w:type="dxa"/>
            </w:tcMar>
            <w:vAlign w:val="center"/>
          </w:tcPr>
          <w:p w14:paraId="1CD0B6D2">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1276" w:type="dxa"/>
            <w:tcMar>
              <w:top w:w="100" w:type="dxa"/>
              <w:right w:w="100" w:type="dxa"/>
            </w:tcMar>
            <w:vAlign w:val="center"/>
          </w:tcPr>
          <w:p w14:paraId="682C7D26">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2126" w:type="dxa"/>
            <w:tcMar>
              <w:top w:w="100" w:type="dxa"/>
              <w:right w:w="100" w:type="dxa"/>
            </w:tcMar>
            <w:vAlign w:val="center"/>
          </w:tcPr>
          <w:p w14:paraId="42819EF6">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1985" w:type="dxa"/>
            <w:tcMar>
              <w:top w:w="100" w:type="dxa"/>
              <w:right w:w="100" w:type="dxa"/>
            </w:tcMar>
            <w:vAlign w:val="center"/>
          </w:tcPr>
          <w:p w14:paraId="699287B1">
            <w:pPr>
              <w:widowControl/>
              <w:autoSpaceDE w:val="0"/>
              <w:autoSpaceDN w:val="0"/>
              <w:adjustRightInd w:val="0"/>
              <w:jc w:val="center"/>
              <w:rPr>
                <w:rFonts w:hint="eastAsia" w:ascii="仿宋_GB2312" w:hAnsi="仿宋_GB2312" w:eastAsia="仿宋_GB2312" w:cs="仿宋_GB2312"/>
                <w:kern w:val="1"/>
                <w:sz w:val="24"/>
                <w:szCs w:val="24"/>
                <w:highlight w:val="none"/>
              </w:rPr>
            </w:pPr>
          </w:p>
        </w:tc>
      </w:tr>
      <w:tr w14:paraId="0B1AC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Mar>
              <w:top w:w="100" w:type="dxa"/>
              <w:right w:w="100" w:type="dxa"/>
            </w:tcMar>
            <w:vAlign w:val="center"/>
          </w:tcPr>
          <w:p w14:paraId="23CBB54B">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1484" w:type="dxa"/>
            <w:tcMar>
              <w:top w:w="100" w:type="dxa"/>
              <w:right w:w="100" w:type="dxa"/>
            </w:tcMar>
            <w:vAlign w:val="center"/>
          </w:tcPr>
          <w:p w14:paraId="2929F14D">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906" w:type="dxa"/>
            <w:tcMar>
              <w:top w:w="100" w:type="dxa"/>
              <w:right w:w="100" w:type="dxa"/>
            </w:tcMar>
            <w:vAlign w:val="center"/>
          </w:tcPr>
          <w:p w14:paraId="1FF02F39">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850" w:type="dxa"/>
            <w:tcMar>
              <w:top w:w="100" w:type="dxa"/>
              <w:right w:w="100" w:type="dxa"/>
            </w:tcMar>
            <w:vAlign w:val="center"/>
          </w:tcPr>
          <w:p w14:paraId="01DA16AE">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1276" w:type="dxa"/>
            <w:tcMar>
              <w:top w:w="100" w:type="dxa"/>
              <w:right w:w="100" w:type="dxa"/>
            </w:tcMar>
            <w:vAlign w:val="center"/>
          </w:tcPr>
          <w:p w14:paraId="3C10D4DD">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2126" w:type="dxa"/>
            <w:tcMar>
              <w:top w:w="100" w:type="dxa"/>
              <w:right w:w="100" w:type="dxa"/>
            </w:tcMar>
            <w:vAlign w:val="center"/>
          </w:tcPr>
          <w:p w14:paraId="7EE584E5">
            <w:pPr>
              <w:widowControl/>
              <w:autoSpaceDE w:val="0"/>
              <w:autoSpaceDN w:val="0"/>
              <w:adjustRightInd w:val="0"/>
              <w:jc w:val="center"/>
              <w:rPr>
                <w:rFonts w:hint="eastAsia" w:ascii="仿宋_GB2312" w:hAnsi="仿宋_GB2312" w:eastAsia="仿宋_GB2312" w:cs="仿宋_GB2312"/>
                <w:kern w:val="1"/>
                <w:sz w:val="24"/>
                <w:szCs w:val="24"/>
                <w:highlight w:val="none"/>
              </w:rPr>
            </w:pPr>
          </w:p>
        </w:tc>
        <w:tc>
          <w:tcPr>
            <w:tcW w:w="1985" w:type="dxa"/>
            <w:tcMar>
              <w:top w:w="100" w:type="dxa"/>
              <w:right w:w="100" w:type="dxa"/>
            </w:tcMar>
            <w:vAlign w:val="center"/>
          </w:tcPr>
          <w:p w14:paraId="37A4894B">
            <w:pPr>
              <w:widowControl/>
              <w:autoSpaceDE w:val="0"/>
              <w:autoSpaceDN w:val="0"/>
              <w:adjustRightInd w:val="0"/>
              <w:jc w:val="center"/>
              <w:rPr>
                <w:rFonts w:hint="eastAsia" w:ascii="仿宋_GB2312" w:hAnsi="仿宋_GB2312" w:eastAsia="仿宋_GB2312" w:cs="仿宋_GB2312"/>
                <w:kern w:val="1"/>
                <w:sz w:val="24"/>
                <w:szCs w:val="24"/>
                <w:highlight w:val="none"/>
              </w:rPr>
            </w:pPr>
          </w:p>
        </w:tc>
      </w:tr>
    </w:tbl>
    <w:p w14:paraId="18751F2C">
      <w:pPr>
        <w:widowControl/>
        <w:autoSpaceDE w:val="0"/>
        <w:autoSpaceDN w:val="0"/>
        <w:adjustRightInd w:val="0"/>
        <w:ind w:right="-481"/>
        <w:rPr>
          <w:rFonts w:hint="eastAsia" w:ascii="仿宋_GB2312" w:hAnsi="仿宋_GB2312" w:eastAsia="仿宋_GB2312" w:cs="仿宋_GB2312"/>
          <w:kern w:val="1"/>
          <w:sz w:val="24"/>
          <w:szCs w:val="24"/>
          <w:highlight w:val="none"/>
          <w:u w:val="single"/>
        </w:rPr>
      </w:pPr>
    </w:p>
    <w:p w14:paraId="613B4F9C">
      <w:pPr>
        <w:widowControl/>
        <w:autoSpaceDE w:val="0"/>
        <w:autoSpaceDN w:val="0"/>
        <w:adjustRightInd w:val="0"/>
        <w:spacing w:line="360" w:lineRule="auto"/>
        <w:ind w:right="-481"/>
        <w:rPr>
          <w:rFonts w:hint="eastAsia" w:ascii="仿宋_GB2312" w:hAnsi="仿宋_GB2312" w:eastAsia="仿宋_GB2312" w:cs="仿宋_GB2312"/>
          <w:kern w:val="1"/>
          <w:sz w:val="24"/>
          <w:szCs w:val="24"/>
          <w:highlight w:val="none"/>
        </w:rPr>
      </w:pPr>
    </w:p>
    <w:p w14:paraId="7290BAF1">
      <w:pPr>
        <w:widowControl/>
        <w:autoSpaceDE w:val="0"/>
        <w:autoSpaceDN w:val="0"/>
        <w:adjustRightInd w:val="0"/>
        <w:spacing w:line="360" w:lineRule="auto"/>
        <w:ind w:right="-481"/>
        <w:rPr>
          <w:rStyle w:val="15"/>
          <w:rFonts w:hint="eastAsia" w:ascii="仿宋_GB2312" w:hAnsi="仿宋_GB2312" w:eastAsia="仿宋_GB2312" w:cs="仿宋_GB2312"/>
          <w:sz w:val="24"/>
          <w:szCs w:val="24"/>
          <w:highlight w:val="none"/>
        </w:rPr>
      </w:pPr>
      <w:r>
        <w:rPr>
          <w:rStyle w:val="15"/>
          <w:rFonts w:hint="eastAsia" w:ascii="仿宋_GB2312" w:hAnsi="仿宋_GB2312" w:eastAsia="仿宋_GB2312" w:cs="仿宋_GB2312"/>
          <w:sz w:val="24"/>
          <w:szCs w:val="24"/>
          <w:highlight w:val="none"/>
        </w:rPr>
        <w:t>供应商（公章）：</w:t>
      </w:r>
    </w:p>
    <w:p w14:paraId="08FA68D9">
      <w:pPr>
        <w:widowControl/>
        <w:autoSpaceDE w:val="0"/>
        <w:autoSpaceDN w:val="0"/>
        <w:adjustRightInd w:val="0"/>
        <w:spacing w:line="360" w:lineRule="auto"/>
        <w:ind w:right="-481"/>
        <w:rPr>
          <w:rStyle w:val="15"/>
          <w:rFonts w:hint="eastAsia" w:ascii="仿宋_GB2312" w:hAnsi="仿宋_GB2312" w:eastAsia="仿宋_GB2312" w:cs="仿宋_GB2312"/>
          <w:sz w:val="24"/>
          <w:szCs w:val="24"/>
          <w:highlight w:val="none"/>
        </w:rPr>
      </w:pPr>
      <w:r>
        <w:rPr>
          <w:rStyle w:val="15"/>
          <w:rFonts w:hint="eastAsia" w:ascii="仿宋_GB2312" w:hAnsi="仿宋_GB2312" w:eastAsia="仿宋_GB2312" w:cs="仿宋_GB2312"/>
          <w:sz w:val="24"/>
          <w:szCs w:val="24"/>
          <w:highlight w:val="none"/>
        </w:rPr>
        <w:t>供应商法定代表人或者被授权代表：（签字）</w:t>
      </w:r>
    </w:p>
    <w:p w14:paraId="3B6276C1">
      <w:pPr>
        <w:widowControl/>
        <w:autoSpaceDE w:val="0"/>
        <w:autoSpaceDN w:val="0"/>
        <w:adjustRightInd w:val="0"/>
        <w:spacing w:line="360" w:lineRule="auto"/>
        <w:ind w:right="-481"/>
        <w:rPr>
          <w:rFonts w:hint="eastAsia" w:ascii="仿宋_GB2312" w:hAnsi="仿宋_GB2312" w:eastAsia="仿宋_GB2312" w:cs="仿宋_GB2312"/>
          <w:kern w:val="1"/>
          <w:sz w:val="24"/>
          <w:szCs w:val="24"/>
          <w:highlight w:val="none"/>
        </w:rPr>
      </w:pPr>
      <w:r>
        <w:rPr>
          <w:rStyle w:val="15"/>
          <w:rFonts w:hint="eastAsia" w:ascii="仿宋_GB2312" w:hAnsi="仿宋_GB2312" w:eastAsia="仿宋_GB2312" w:cs="仿宋_GB2312"/>
          <w:sz w:val="24"/>
          <w:szCs w:val="24"/>
          <w:highlight w:val="none"/>
        </w:rPr>
        <w:t>时间：</w:t>
      </w:r>
      <w:r>
        <w:rPr>
          <w:rFonts w:hint="eastAsia" w:ascii="仿宋_GB2312" w:hAnsi="仿宋_GB2312" w:eastAsia="仿宋_GB2312" w:cs="仿宋_GB2312"/>
          <w:kern w:val="1"/>
          <w:sz w:val="24"/>
          <w:szCs w:val="24"/>
          <w:highlight w:val="none"/>
          <w:u w:val="single"/>
        </w:rPr>
        <w:t xml:space="preserve">      </w:t>
      </w:r>
      <w:r>
        <w:rPr>
          <w:rStyle w:val="15"/>
          <w:rFonts w:hint="eastAsia" w:ascii="仿宋_GB2312" w:hAnsi="仿宋_GB2312" w:eastAsia="仿宋_GB2312" w:cs="仿宋_GB2312"/>
          <w:sz w:val="24"/>
          <w:szCs w:val="24"/>
          <w:highlight w:val="none"/>
        </w:rPr>
        <w:t>年</w:t>
      </w:r>
      <w:r>
        <w:rPr>
          <w:rFonts w:hint="eastAsia" w:ascii="仿宋_GB2312" w:hAnsi="仿宋_GB2312" w:eastAsia="仿宋_GB2312" w:cs="仿宋_GB2312"/>
          <w:kern w:val="1"/>
          <w:sz w:val="24"/>
          <w:szCs w:val="24"/>
          <w:highlight w:val="none"/>
          <w:u w:val="single"/>
        </w:rPr>
        <w:t xml:space="preserve">     </w:t>
      </w:r>
      <w:r>
        <w:rPr>
          <w:rStyle w:val="15"/>
          <w:rFonts w:hint="eastAsia" w:ascii="仿宋_GB2312" w:hAnsi="仿宋_GB2312" w:eastAsia="仿宋_GB2312" w:cs="仿宋_GB2312"/>
          <w:sz w:val="24"/>
          <w:szCs w:val="24"/>
          <w:highlight w:val="none"/>
        </w:rPr>
        <w:t xml:space="preserve"> 月</w:t>
      </w:r>
      <w:r>
        <w:rPr>
          <w:rFonts w:hint="eastAsia" w:ascii="仿宋_GB2312" w:hAnsi="仿宋_GB2312" w:eastAsia="仿宋_GB2312" w:cs="仿宋_GB2312"/>
          <w:kern w:val="1"/>
          <w:sz w:val="24"/>
          <w:szCs w:val="24"/>
          <w:highlight w:val="none"/>
          <w:u w:val="single"/>
        </w:rPr>
        <w:t xml:space="preserve">   </w:t>
      </w:r>
      <w:r>
        <w:rPr>
          <w:rStyle w:val="15"/>
          <w:rFonts w:hint="eastAsia" w:ascii="仿宋_GB2312" w:hAnsi="仿宋_GB2312" w:eastAsia="仿宋_GB2312" w:cs="仿宋_GB2312"/>
          <w:sz w:val="24"/>
          <w:szCs w:val="24"/>
          <w:highlight w:val="none"/>
        </w:rPr>
        <w:t>日</w:t>
      </w:r>
    </w:p>
    <w:p w14:paraId="196BA1E0">
      <w:pPr>
        <w:widowControl/>
        <w:autoSpaceDE w:val="0"/>
        <w:autoSpaceDN w:val="0"/>
        <w:adjustRightInd w:val="0"/>
        <w:ind w:right="-481"/>
        <w:jc w:val="left"/>
        <w:rPr>
          <w:rFonts w:hint="eastAsia" w:ascii="仿宋_GB2312" w:hAnsi="仿宋_GB2312" w:eastAsia="仿宋_GB2312" w:cs="仿宋_GB2312"/>
          <w:szCs w:val="21"/>
          <w:highlight w:val="none"/>
          <w:lang w:val="zh-CN"/>
        </w:rPr>
      </w:pPr>
      <w:r>
        <w:rPr>
          <w:rFonts w:hint="eastAsia" w:ascii="仿宋_GB2312" w:hAnsi="仿宋_GB2312" w:eastAsia="仿宋_GB2312" w:cs="仿宋_GB2312"/>
          <w:szCs w:val="21"/>
          <w:highlight w:val="none"/>
          <w:lang w:val="zh-CN"/>
        </w:rPr>
        <w:t xml:space="preserve"> </w:t>
      </w:r>
    </w:p>
    <w:p w14:paraId="184FE025">
      <w:pPr>
        <w:widowControl/>
        <w:autoSpaceDE w:val="0"/>
        <w:autoSpaceDN w:val="0"/>
        <w:adjustRightInd w:val="0"/>
        <w:ind w:right="-481"/>
        <w:jc w:val="left"/>
        <w:rPr>
          <w:rFonts w:hint="eastAsia" w:ascii="仿宋_GB2312" w:hAnsi="仿宋_GB2312" w:eastAsia="仿宋_GB2312" w:cs="仿宋_GB2312"/>
          <w:szCs w:val="21"/>
          <w:highlight w:val="none"/>
          <w:lang w:val="zh-CN"/>
        </w:rPr>
      </w:pPr>
      <w:r>
        <w:rPr>
          <w:rFonts w:hint="eastAsia" w:ascii="仿宋_GB2312" w:hAnsi="仿宋_GB2312" w:eastAsia="仿宋_GB2312" w:cs="仿宋_GB2312"/>
          <w:szCs w:val="21"/>
          <w:highlight w:val="none"/>
          <w:lang w:val="zh-CN"/>
        </w:rPr>
        <w:br w:type="page"/>
      </w:r>
      <w:r>
        <w:rPr>
          <w:rStyle w:val="15"/>
          <w:rFonts w:hint="eastAsia" w:ascii="仿宋_GB2312" w:hAnsi="仿宋_GB2312" w:eastAsia="仿宋_GB2312" w:cs="仿宋_GB2312"/>
          <w:sz w:val="24"/>
          <w:szCs w:val="24"/>
          <w:highlight w:val="none"/>
        </w:rPr>
        <w:t>附件6：</w:t>
      </w:r>
    </w:p>
    <w:p w14:paraId="71C72514">
      <w:pPr>
        <w:spacing w:before="100" w:beforeAutospacing="1" w:after="100" w:afterAutospacing="1" w:line="44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无行贿犯罪等重大违法记录的书面声明</w:t>
      </w:r>
    </w:p>
    <w:p w14:paraId="15BA0BC6">
      <w:pPr>
        <w:spacing w:line="44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w:t>
      </w:r>
    </w:p>
    <w:p w14:paraId="6097E75E">
      <w:pPr>
        <w:spacing w:line="440" w:lineRule="exact"/>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我方在参加</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（项目名称）采购活动前3年内，我方被公开披露或查处的违法违规行为有：</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，但在经营活动中：</w:t>
      </w:r>
    </w:p>
    <w:p w14:paraId="13549D56">
      <w:pPr>
        <w:spacing w:line="440" w:lineRule="exact"/>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1、没有重大违法记录（重大违法记录指通过</w:t>
      </w:r>
      <w:r>
        <w:rPr>
          <w:rFonts w:hint="eastAsia" w:ascii="仿宋_GB2312" w:hAnsi="仿宋_GB2312" w:eastAsia="仿宋_GB2312" w:cs="仿宋_GB2312"/>
          <w:b/>
          <w:bCs/>
          <w:sz w:val="24"/>
          <w:szCs w:val="24"/>
          <w:highlight w:val="none"/>
        </w:rPr>
        <w:t>“信用中国”网站</w:t>
      </w:r>
      <w:r>
        <w:rPr>
          <w:rFonts w:hint="eastAsia" w:ascii="仿宋_GB2312" w:hAnsi="仿宋_GB2312" w:eastAsia="仿宋_GB2312" w:cs="仿宋_GB2312"/>
          <w:sz w:val="24"/>
          <w:szCs w:val="24"/>
          <w:highlight w:val="none"/>
        </w:rPr>
        <w:t>查询</w:t>
      </w:r>
      <w:r>
        <w:rPr>
          <w:rFonts w:hint="eastAsia" w:ascii="仿宋_GB2312" w:hAnsi="仿宋_GB2312" w:eastAsia="仿宋_GB2312" w:cs="仿宋_GB2312"/>
          <w:kern w:val="0"/>
          <w:sz w:val="24"/>
          <w:szCs w:val="24"/>
          <w:highlight w:val="none"/>
        </w:rPr>
        <w:t>供应商因违法经营受到刑事处罚或者责令停产停业、吊销许可证或者执照、200万元及以上的罚款等行政处罚））</w:t>
      </w:r>
      <w:r>
        <w:rPr>
          <w:rFonts w:hint="eastAsia" w:ascii="仿宋_GB2312" w:hAnsi="仿宋_GB2312" w:eastAsia="仿宋_GB2312" w:cs="仿宋_GB2312"/>
          <w:sz w:val="24"/>
          <w:szCs w:val="24"/>
          <w:highlight w:val="none"/>
        </w:rPr>
        <w:t>。</w:t>
      </w:r>
    </w:p>
    <w:p w14:paraId="65B40C5D">
      <w:pPr>
        <w:spacing w:line="440" w:lineRule="exact"/>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2、没有行贿犯罪记录（通过</w:t>
      </w:r>
      <w:r>
        <w:rPr>
          <w:rFonts w:hint="eastAsia" w:ascii="仿宋_GB2312" w:hAnsi="仿宋_GB2312" w:eastAsia="仿宋_GB2312" w:cs="仿宋_GB2312"/>
          <w:b/>
          <w:bCs/>
          <w:sz w:val="24"/>
          <w:szCs w:val="24"/>
          <w:highlight w:val="none"/>
        </w:rPr>
        <w:t>“中国裁判文书网”网站</w:t>
      </w:r>
      <w:r>
        <w:rPr>
          <w:rFonts w:hint="eastAsia" w:ascii="仿宋_GB2312" w:hAnsi="仿宋_GB2312" w:eastAsia="仿宋_GB2312" w:cs="仿宋_GB2312"/>
          <w:sz w:val="24"/>
          <w:szCs w:val="24"/>
          <w:highlight w:val="none"/>
        </w:rPr>
        <w:t>查询内容：①供应商</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、组织机构代码证或统一社会信用代码</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 xml:space="preserve"> 。②法定代表人</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、身份证号码</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 xml:space="preserve"> 。③项目负责人</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、身份证号码</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 xml:space="preserve"> ）。</w:t>
      </w:r>
    </w:p>
    <w:p w14:paraId="14ECA4AC">
      <w:pPr>
        <w:spacing w:line="440" w:lineRule="exact"/>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以上承诺若与实际情况不符，我方自愿承担一切法律后果。</w:t>
      </w:r>
    </w:p>
    <w:p w14:paraId="0ADC39F5">
      <w:pPr>
        <w:spacing w:line="440" w:lineRule="exact"/>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w:t>
      </w:r>
    </w:p>
    <w:p w14:paraId="7D8C0DB3">
      <w:pPr>
        <w:spacing w:line="440" w:lineRule="exact"/>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w:t>
      </w:r>
    </w:p>
    <w:p w14:paraId="1FEA7E00">
      <w:pPr>
        <w:spacing w:line="420" w:lineRule="auto"/>
        <w:rPr>
          <w:rStyle w:val="15"/>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w:t>
      </w:r>
      <w:r>
        <w:rPr>
          <w:rStyle w:val="15"/>
          <w:rFonts w:hint="eastAsia" w:ascii="仿宋_GB2312" w:hAnsi="仿宋_GB2312" w:eastAsia="仿宋_GB2312" w:cs="仿宋_GB2312"/>
          <w:sz w:val="24"/>
          <w:szCs w:val="24"/>
          <w:highlight w:val="none"/>
        </w:rPr>
        <w:t>供应商（公章）：</w:t>
      </w:r>
    </w:p>
    <w:p w14:paraId="0ECF51BB">
      <w:pPr>
        <w:widowControl/>
        <w:autoSpaceDE w:val="0"/>
        <w:autoSpaceDN w:val="0"/>
        <w:adjustRightInd w:val="0"/>
        <w:spacing w:line="360" w:lineRule="auto"/>
        <w:ind w:right="-481"/>
        <w:rPr>
          <w:rFonts w:hint="eastAsia" w:ascii="仿宋_GB2312" w:hAnsi="仿宋_GB2312" w:eastAsia="仿宋_GB2312" w:cs="仿宋_GB2312"/>
          <w:kern w:val="1"/>
          <w:sz w:val="24"/>
          <w:szCs w:val="24"/>
          <w:highlight w:val="none"/>
        </w:rPr>
      </w:pPr>
      <w:r>
        <w:rPr>
          <w:rFonts w:hint="eastAsia" w:ascii="仿宋_GB2312" w:hAnsi="仿宋_GB2312" w:eastAsia="仿宋_GB2312" w:cs="仿宋_GB2312"/>
          <w:sz w:val="24"/>
          <w:szCs w:val="24"/>
          <w:highlight w:val="none"/>
        </w:rPr>
        <w:t xml:space="preserve">                                 </w:t>
      </w:r>
      <w:r>
        <w:rPr>
          <w:rStyle w:val="15"/>
          <w:rFonts w:hint="eastAsia" w:ascii="仿宋_GB2312" w:hAnsi="仿宋_GB2312" w:eastAsia="仿宋_GB2312" w:cs="仿宋_GB2312"/>
          <w:sz w:val="24"/>
          <w:szCs w:val="24"/>
          <w:highlight w:val="none"/>
        </w:rPr>
        <w:t>时间：</w:t>
      </w:r>
      <w:r>
        <w:rPr>
          <w:rFonts w:hint="eastAsia" w:ascii="仿宋_GB2312" w:hAnsi="仿宋_GB2312" w:eastAsia="仿宋_GB2312" w:cs="仿宋_GB2312"/>
          <w:kern w:val="1"/>
          <w:sz w:val="24"/>
          <w:szCs w:val="24"/>
          <w:highlight w:val="none"/>
          <w:u w:val="single"/>
        </w:rPr>
        <w:t xml:space="preserve">      </w:t>
      </w:r>
      <w:r>
        <w:rPr>
          <w:rStyle w:val="15"/>
          <w:rFonts w:hint="eastAsia" w:ascii="仿宋_GB2312" w:hAnsi="仿宋_GB2312" w:eastAsia="仿宋_GB2312" w:cs="仿宋_GB2312"/>
          <w:sz w:val="24"/>
          <w:szCs w:val="24"/>
          <w:highlight w:val="none"/>
        </w:rPr>
        <w:t>年</w:t>
      </w:r>
      <w:r>
        <w:rPr>
          <w:rFonts w:hint="eastAsia" w:ascii="仿宋_GB2312" w:hAnsi="仿宋_GB2312" w:eastAsia="仿宋_GB2312" w:cs="仿宋_GB2312"/>
          <w:kern w:val="1"/>
          <w:sz w:val="24"/>
          <w:szCs w:val="24"/>
          <w:highlight w:val="none"/>
          <w:u w:val="single"/>
        </w:rPr>
        <w:t xml:space="preserve">     </w:t>
      </w:r>
      <w:r>
        <w:rPr>
          <w:rStyle w:val="15"/>
          <w:rFonts w:hint="eastAsia" w:ascii="仿宋_GB2312" w:hAnsi="仿宋_GB2312" w:eastAsia="仿宋_GB2312" w:cs="仿宋_GB2312"/>
          <w:sz w:val="24"/>
          <w:szCs w:val="24"/>
          <w:highlight w:val="none"/>
        </w:rPr>
        <w:t xml:space="preserve"> 月</w:t>
      </w:r>
      <w:r>
        <w:rPr>
          <w:rFonts w:hint="eastAsia" w:ascii="仿宋_GB2312" w:hAnsi="仿宋_GB2312" w:eastAsia="仿宋_GB2312" w:cs="仿宋_GB2312"/>
          <w:kern w:val="1"/>
          <w:sz w:val="24"/>
          <w:szCs w:val="24"/>
          <w:highlight w:val="none"/>
          <w:u w:val="single"/>
        </w:rPr>
        <w:t xml:space="preserve">   </w:t>
      </w:r>
      <w:r>
        <w:rPr>
          <w:rStyle w:val="15"/>
          <w:rFonts w:hint="eastAsia" w:ascii="仿宋_GB2312" w:hAnsi="仿宋_GB2312" w:eastAsia="仿宋_GB2312" w:cs="仿宋_GB2312"/>
          <w:sz w:val="24"/>
          <w:szCs w:val="24"/>
          <w:highlight w:val="none"/>
        </w:rPr>
        <w:t>日</w:t>
      </w:r>
    </w:p>
    <w:p w14:paraId="6154026B">
      <w:pPr>
        <w:spacing w:line="42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w:t>
      </w:r>
    </w:p>
    <w:p w14:paraId="410E3C3C">
      <w:pPr>
        <w:spacing w:line="420" w:lineRule="auto"/>
        <w:ind w:firstLine="48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备注：1.供应商没有被公开披露或查处违法违规行为的，注明“无”即可。</w:t>
      </w:r>
    </w:p>
    <w:p w14:paraId="438C6EF2">
      <w:pPr>
        <w:spacing w:line="360" w:lineRule="auto"/>
        <w:ind w:firstLine="480" w:firstLineChars="200"/>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rPr>
        <w:t xml:space="preserve">      2.磋商文件未要求项目负责人的，项目负责人一栏可删除。</w:t>
      </w:r>
    </w:p>
    <w:p w14:paraId="77F90116">
      <w:pPr>
        <w:spacing w:line="360" w:lineRule="auto"/>
        <w:ind w:firstLine="482" w:firstLineChars="200"/>
        <w:rPr>
          <w:rFonts w:hint="eastAsia" w:ascii="仿宋_GB2312" w:hAnsi="仿宋_GB2312" w:eastAsia="仿宋_GB2312" w:cs="仿宋_GB2312"/>
          <w:b/>
          <w:sz w:val="24"/>
          <w:szCs w:val="24"/>
          <w:highlight w:val="none"/>
        </w:rPr>
      </w:pPr>
    </w:p>
    <w:p w14:paraId="454D860D">
      <w:pPr>
        <w:pStyle w:val="17"/>
        <w:jc w:val="both"/>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br w:type="page"/>
      </w:r>
    </w:p>
    <w:p w14:paraId="76EBCDE6">
      <w:pPr>
        <w:pStyle w:val="17"/>
        <w:jc w:val="both"/>
        <w:rPr>
          <w:rStyle w:val="15"/>
          <w:rFonts w:hint="eastAsia" w:ascii="仿宋_GB2312" w:hAnsi="仿宋_GB2312" w:eastAsia="仿宋_GB2312" w:cs="仿宋_GB2312"/>
          <w:sz w:val="24"/>
          <w:szCs w:val="24"/>
          <w:highlight w:val="none"/>
        </w:rPr>
      </w:pPr>
    </w:p>
    <w:p w14:paraId="5B889A54">
      <w:pPr>
        <w:jc w:val="center"/>
        <w:rPr>
          <w:rFonts w:hint="eastAsia" w:ascii="仿宋_GB2312" w:hAnsi="仿宋_GB2312" w:eastAsia="仿宋_GB2312" w:cs="仿宋_GB2312"/>
          <w:b/>
          <w:sz w:val="36"/>
          <w:szCs w:val="32"/>
          <w:highlight w:val="none"/>
        </w:rPr>
      </w:pPr>
      <w:r>
        <w:rPr>
          <w:rFonts w:hint="eastAsia" w:ascii="仿宋_GB2312" w:hAnsi="仿宋_GB2312" w:eastAsia="仿宋_GB2312" w:cs="仿宋_GB2312"/>
          <w:b/>
          <w:sz w:val="36"/>
          <w:szCs w:val="32"/>
          <w:highlight w:val="none"/>
        </w:rPr>
        <w:t>竞争性谈判多轮报价单</w:t>
      </w:r>
    </w:p>
    <w:p w14:paraId="1B478D46">
      <w:pPr>
        <w:ind w:left="3360" w:firstLine="2520" w:firstLineChars="9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28"/>
          <w:szCs w:val="28"/>
          <w:highlight w:val="none"/>
        </w:rPr>
        <w:t>日期：    年   月   日</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3544"/>
        <w:gridCol w:w="3544"/>
      </w:tblGrid>
      <w:tr w14:paraId="2CD5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696" w:type="dxa"/>
            <w:shd w:val="clear" w:color="auto" w:fill="auto"/>
            <w:vAlign w:val="center"/>
          </w:tcPr>
          <w:p w14:paraId="26712861">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项目名称</w:t>
            </w:r>
          </w:p>
        </w:tc>
        <w:tc>
          <w:tcPr>
            <w:tcW w:w="7088" w:type="dxa"/>
            <w:gridSpan w:val="2"/>
            <w:shd w:val="clear" w:color="auto" w:fill="auto"/>
            <w:vAlign w:val="center"/>
          </w:tcPr>
          <w:p w14:paraId="55C4F338">
            <w:pPr>
              <w:rPr>
                <w:rFonts w:hint="eastAsia" w:ascii="仿宋_GB2312" w:hAnsi="仿宋_GB2312" w:eastAsia="仿宋_GB2312" w:cs="仿宋_GB2312"/>
                <w:sz w:val="28"/>
                <w:szCs w:val="28"/>
                <w:highlight w:val="none"/>
              </w:rPr>
            </w:pPr>
          </w:p>
        </w:tc>
      </w:tr>
      <w:tr w14:paraId="1E206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696" w:type="dxa"/>
            <w:shd w:val="clear" w:color="auto" w:fill="auto"/>
            <w:vAlign w:val="center"/>
          </w:tcPr>
          <w:p w14:paraId="07703135">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供应商名称</w:t>
            </w:r>
          </w:p>
        </w:tc>
        <w:tc>
          <w:tcPr>
            <w:tcW w:w="7088" w:type="dxa"/>
            <w:gridSpan w:val="2"/>
            <w:shd w:val="clear" w:color="auto" w:fill="auto"/>
            <w:vAlign w:val="center"/>
          </w:tcPr>
          <w:p w14:paraId="204422CB">
            <w:pPr>
              <w:rPr>
                <w:rFonts w:hint="eastAsia" w:ascii="仿宋_GB2312" w:hAnsi="仿宋_GB2312" w:eastAsia="仿宋_GB2312" w:cs="仿宋_GB2312"/>
                <w:sz w:val="28"/>
                <w:szCs w:val="28"/>
                <w:highlight w:val="none"/>
              </w:rPr>
            </w:pPr>
          </w:p>
        </w:tc>
      </w:tr>
      <w:tr w14:paraId="749B6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5240" w:type="dxa"/>
            <w:gridSpan w:val="2"/>
            <w:shd w:val="clear" w:color="auto" w:fill="auto"/>
            <w:vAlign w:val="center"/>
          </w:tcPr>
          <w:p w14:paraId="2876B7BC">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对谈判项目内容是否全部承诺或者确认</w:t>
            </w:r>
          </w:p>
        </w:tc>
        <w:tc>
          <w:tcPr>
            <w:tcW w:w="3544" w:type="dxa"/>
            <w:shd w:val="clear" w:color="auto" w:fill="auto"/>
            <w:vAlign w:val="center"/>
          </w:tcPr>
          <w:p w14:paraId="4FD27D67">
            <w:pPr>
              <w:rPr>
                <w:rFonts w:hint="eastAsia" w:ascii="仿宋_GB2312" w:hAnsi="仿宋_GB2312" w:eastAsia="仿宋_GB2312" w:cs="仿宋_GB2312"/>
                <w:sz w:val="28"/>
                <w:szCs w:val="28"/>
                <w:highlight w:val="none"/>
              </w:rPr>
            </w:pPr>
          </w:p>
        </w:tc>
      </w:tr>
      <w:tr w14:paraId="16E45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8784" w:type="dxa"/>
            <w:gridSpan w:val="3"/>
            <w:shd w:val="clear" w:color="auto" w:fill="auto"/>
            <w:vAlign w:val="center"/>
          </w:tcPr>
          <w:p w14:paraId="0F176FF0">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一轮报价：           元   大写： </w:t>
            </w:r>
          </w:p>
        </w:tc>
      </w:tr>
      <w:tr w14:paraId="1F76B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8784" w:type="dxa"/>
            <w:gridSpan w:val="3"/>
            <w:shd w:val="clear" w:color="auto" w:fill="auto"/>
            <w:vAlign w:val="center"/>
          </w:tcPr>
          <w:p w14:paraId="39352378">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二轮报价：           元   大写：</w:t>
            </w:r>
          </w:p>
        </w:tc>
      </w:tr>
      <w:tr w14:paraId="0F157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8784" w:type="dxa"/>
            <w:gridSpan w:val="3"/>
            <w:shd w:val="clear" w:color="auto" w:fill="auto"/>
            <w:vAlign w:val="center"/>
          </w:tcPr>
          <w:p w14:paraId="4A8AFE4F">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三轮报价：           元   大写：</w:t>
            </w:r>
          </w:p>
        </w:tc>
      </w:tr>
    </w:tbl>
    <w:p w14:paraId="037CCDE6">
      <w:pPr>
        <w:rPr>
          <w:rFonts w:hint="eastAsia" w:ascii="仿宋_GB2312" w:hAnsi="仿宋_GB2312" w:eastAsia="仿宋_GB2312" w:cs="仿宋_GB2312"/>
          <w:sz w:val="28"/>
          <w:szCs w:val="28"/>
          <w:highlight w:val="none"/>
        </w:rPr>
      </w:pPr>
    </w:p>
    <w:p w14:paraId="3CBDE78B">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法人或其授权代理人签字：</w:t>
      </w:r>
    </w:p>
    <w:p w14:paraId="59A79F71">
      <w:pPr>
        <w:rPr>
          <w:rFonts w:hint="eastAsia" w:ascii="仿宋_GB2312" w:hAnsi="仿宋_GB2312" w:eastAsia="仿宋_GB2312" w:cs="仿宋_GB2312"/>
          <w:highlight w:val="none"/>
        </w:rPr>
      </w:pPr>
    </w:p>
    <w:sectPr>
      <w:footerReference r:id="rId9"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BD49B">
    <w:pPr>
      <w:pStyle w:val="4"/>
      <w:jc w:val="center"/>
    </w:pPr>
    <w:r>
      <w:fldChar w:fldCharType="begin"/>
    </w:r>
    <w:r>
      <w:rPr>
        <w:rStyle w:val="12"/>
      </w:rPr>
      <w:instrText xml:space="preserve"> PAGE </w:instrText>
    </w:r>
    <w:r>
      <w:fldChar w:fldCharType="separate"/>
    </w:r>
    <w:r>
      <w:rPr>
        <w:rStyle w:val="12"/>
      </w:rPr>
      <w:t>- 45 -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18AFF">
    <w:pPr>
      <w:pStyle w:val="4"/>
      <w:jc w:val="center"/>
      <w:rPr>
        <w:rFonts w:hint="eastAsia"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6</w:t>
    </w:r>
    <w:r>
      <w:rPr>
        <w:rFonts w:ascii="宋体" w:hAnsi="宋体"/>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C9487">
    <w:pPr>
      <w:pStyle w:val="4"/>
      <w:jc w:val="center"/>
      <w:rPr>
        <w:rFonts w:hint="eastAsia"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15</w:t>
    </w:r>
    <w:r>
      <w:rPr>
        <w:rFonts w:ascii="宋体" w:hAnsi="宋体"/>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6FD2E">
    <w:pPr>
      <w:pStyle w:val="4"/>
      <w:jc w:val="center"/>
      <w:rPr>
        <w:rFonts w:hint="eastAsia" w:ascii="宋体" w:hAnsi="宋体"/>
      </w:rPr>
    </w:pPr>
    <w:r>
      <w:rPr>
        <w:rFonts w:hint="eastAsia" w:ascii="宋体" w:hAnsi="宋体"/>
      </w:rPr>
      <w:fldChar w:fldCharType="begin"/>
    </w:r>
    <w:r>
      <w:rPr>
        <w:rStyle w:val="12"/>
        <w:rFonts w:hint="eastAsia" w:ascii="宋体" w:hAnsi="宋体"/>
      </w:rPr>
      <w:instrText xml:space="preserve"> PAGE </w:instrText>
    </w:r>
    <w:r>
      <w:rPr>
        <w:rFonts w:hint="eastAsia" w:ascii="宋体" w:hAnsi="宋体"/>
      </w:rPr>
      <w:fldChar w:fldCharType="separate"/>
    </w:r>
    <w:r>
      <w:rPr>
        <w:rStyle w:val="12"/>
        <w:rFonts w:ascii="宋体" w:hAnsi="宋体"/>
      </w:rPr>
      <w:t>22</w:t>
    </w:r>
    <w:r>
      <w:rPr>
        <w:rFonts w:hint="eastAsia"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2881A">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D442D">
    <w:pPr>
      <w:pStyle w:val="5"/>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CCE0E">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EEA19E"/>
    <w:multiLevelType w:val="singleLevel"/>
    <w:tmpl w:val="59EEA19E"/>
    <w:lvl w:ilvl="0" w:tentative="0">
      <w:start w:val="2"/>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xNDFhMTI1YmI2ZWU0MjgwNGYwOWEwMzZiYjJkNmIifQ=="/>
  </w:docVars>
  <w:rsids>
    <w:rsidRoot w:val="1CD350D4"/>
    <w:rsid w:val="00033337"/>
    <w:rsid w:val="00051B0D"/>
    <w:rsid w:val="000746CA"/>
    <w:rsid w:val="000B3AC1"/>
    <w:rsid w:val="000C73AF"/>
    <w:rsid w:val="000E4A9B"/>
    <w:rsid w:val="00130896"/>
    <w:rsid w:val="00162252"/>
    <w:rsid w:val="001749D0"/>
    <w:rsid w:val="001833CE"/>
    <w:rsid w:val="001B2F6C"/>
    <w:rsid w:val="001F7C6C"/>
    <w:rsid w:val="00213084"/>
    <w:rsid w:val="00223A74"/>
    <w:rsid w:val="00271870"/>
    <w:rsid w:val="00272528"/>
    <w:rsid w:val="002807DC"/>
    <w:rsid w:val="00293B57"/>
    <w:rsid w:val="002B2D80"/>
    <w:rsid w:val="002C150E"/>
    <w:rsid w:val="002D7CBF"/>
    <w:rsid w:val="0031794D"/>
    <w:rsid w:val="00321510"/>
    <w:rsid w:val="003948F1"/>
    <w:rsid w:val="003B2677"/>
    <w:rsid w:val="003C6E0D"/>
    <w:rsid w:val="003E5F85"/>
    <w:rsid w:val="003F0E53"/>
    <w:rsid w:val="003F46C4"/>
    <w:rsid w:val="004035F1"/>
    <w:rsid w:val="004134E2"/>
    <w:rsid w:val="00445281"/>
    <w:rsid w:val="004D2CE4"/>
    <w:rsid w:val="00531561"/>
    <w:rsid w:val="00565F69"/>
    <w:rsid w:val="00582CE8"/>
    <w:rsid w:val="00593512"/>
    <w:rsid w:val="005B51A4"/>
    <w:rsid w:val="005F5707"/>
    <w:rsid w:val="006033B8"/>
    <w:rsid w:val="00673AD5"/>
    <w:rsid w:val="006A28EB"/>
    <w:rsid w:val="00703932"/>
    <w:rsid w:val="00714A32"/>
    <w:rsid w:val="00782C2C"/>
    <w:rsid w:val="007854F8"/>
    <w:rsid w:val="007E0C05"/>
    <w:rsid w:val="00811C23"/>
    <w:rsid w:val="00817038"/>
    <w:rsid w:val="0082589C"/>
    <w:rsid w:val="008E6483"/>
    <w:rsid w:val="00935D21"/>
    <w:rsid w:val="009452ED"/>
    <w:rsid w:val="0098079E"/>
    <w:rsid w:val="00A52DD0"/>
    <w:rsid w:val="00AF572D"/>
    <w:rsid w:val="00B3753F"/>
    <w:rsid w:val="00B3762A"/>
    <w:rsid w:val="00B57D5F"/>
    <w:rsid w:val="00B739BA"/>
    <w:rsid w:val="00B757EE"/>
    <w:rsid w:val="00BA43A9"/>
    <w:rsid w:val="00BC47E0"/>
    <w:rsid w:val="00BD4AD3"/>
    <w:rsid w:val="00BF4558"/>
    <w:rsid w:val="00C574A4"/>
    <w:rsid w:val="00D11136"/>
    <w:rsid w:val="00D13889"/>
    <w:rsid w:val="00D72471"/>
    <w:rsid w:val="00E07AC1"/>
    <w:rsid w:val="00E26319"/>
    <w:rsid w:val="00E62388"/>
    <w:rsid w:val="00E724BD"/>
    <w:rsid w:val="00F44004"/>
    <w:rsid w:val="00F55B03"/>
    <w:rsid w:val="00F81E3D"/>
    <w:rsid w:val="02560251"/>
    <w:rsid w:val="040C6A6B"/>
    <w:rsid w:val="04647E2C"/>
    <w:rsid w:val="054D10EA"/>
    <w:rsid w:val="06C13226"/>
    <w:rsid w:val="074D717F"/>
    <w:rsid w:val="08814565"/>
    <w:rsid w:val="0A462334"/>
    <w:rsid w:val="0A5A3D19"/>
    <w:rsid w:val="0E4463F6"/>
    <w:rsid w:val="11566597"/>
    <w:rsid w:val="11CA6553"/>
    <w:rsid w:val="121B3CB8"/>
    <w:rsid w:val="12A04F4F"/>
    <w:rsid w:val="12D668A8"/>
    <w:rsid w:val="13BD568C"/>
    <w:rsid w:val="13F93D14"/>
    <w:rsid w:val="15874296"/>
    <w:rsid w:val="16B00A3F"/>
    <w:rsid w:val="19EF79EE"/>
    <w:rsid w:val="1B2E5ECD"/>
    <w:rsid w:val="1B79458F"/>
    <w:rsid w:val="1BC433B5"/>
    <w:rsid w:val="1CD350D4"/>
    <w:rsid w:val="1E49759D"/>
    <w:rsid w:val="1FC14756"/>
    <w:rsid w:val="2134364D"/>
    <w:rsid w:val="24FF4614"/>
    <w:rsid w:val="257735C3"/>
    <w:rsid w:val="290D4568"/>
    <w:rsid w:val="2A9419FB"/>
    <w:rsid w:val="2B3A05C7"/>
    <w:rsid w:val="2B4300BF"/>
    <w:rsid w:val="2E2779A0"/>
    <w:rsid w:val="312608BD"/>
    <w:rsid w:val="34983880"/>
    <w:rsid w:val="34F323D0"/>
    <w:rsid w:val="379D2F66"/>
    <w:rsid w:val="37DF17C6"/>
    <w:rsid w:val="381A7C0C"/>
    <w:rsid w:val="3D49542E"/>
    <w:rsid w:val="3E590137"/>
    <w:rsid w:val="3E630A5B"/>
    <w:rsid w:val="3F7C1A35"/>
    <w:rsid w:val="435C1285"/>
    <w:rsid w:val="46F57DB4"/>
    <w:rsid w:val="47756747"/>
    <w:rsid w:val="4EA0563E"/>
    <w:rsid w:val="50A40385"/>
    <w:rsid w:val="512247A5"/>
    <w:rsid w:val="53C11336"/>
    <w:rsid w:val="541F35DC"/>
    <w:rsid w:val="5525767E"/>
    <w:rsid w:val="56A04D9A"/>
    <w:rsid w:val="587D6765"/>
    <w:rsid w:val="592C66ED"/>
    <w:rsid w:val="5A1F7AD4"/>
    <w:rsid w:val="5A7616BE"/>
    <w:rsid w:val="5BF30019"/>
    <w:rsid w:val="68C651DF"/>
    <w:rsid w:val="696B0975"/>
    <w:rsid w:val="6AEE3C0D"/>
    <w:rsid w:val="6EF445BD"/>
    <w:rsid w:val="712F0C46"/>
    <w:rsid w:val="71FA6EC0"/>
    <w:rsid w:val="74F811F5"/>
    <w:rsid w:val="76E539FB"/>
    <w:rsid w:val="77512597"/>
    <w:rsid w:val="78972C9C"/>
    <w:rsid w:val="7A85352B"/>
    <w:rsid w:val="7B233FE3"/>
    <w:rsid w:val="7FD43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kern w:val="0"/>
      <w:sz w:val="20"/>
    </w:rPr>
  </w:style>
  <w:style w:type="paragraph" w:styleId="3">
    <w:name w:val="Body Text Indent"/>
    <w:basedOn w:val="1"/>
    <w:qFormat/>
    <w:uiPriority w:val="0"/>
    <w:pPr>
      <w:spacing w:after="120"/>
      <w:ind w:left="420" w:leftChars="200"/>
    </w:pPr>
    <w:rPr>
      <w:rFonts w:eastAsia="Times New Roman"/>
      <w:kern w:val="0"/>
      <w:sz w:val="20"/>
      <w:szCs w:val="21"/>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toc 2"/>
    <w:basedOn w:val="1"/>
    <w:next w:val="1"/>
    <w:unhideWhenUsed/>
    <w:qFormat/>
    <w:uiPriority w:val="39"/>
    <w:pPr>
      <w:spacing w:line="380" w:lineRule="exact"/>
      <w:ind w:left="200" w:leftChars="200"/>
      <w:jc w:val="distribute"/>
    </w:pPr>
  </w:style>
  <w:style w:type="paragraph" w:styleId="7">
    <w:name w:val="Normal (Web)"/>
    <w:basedOn w:val="1"/>
    <w:unhideWhenUsed/>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paragraph" w:styleId="8">
    <w:name w:val="Body Text First Indent 2"/>
    <w:basedOn w:val="3"/>
    <w:unhideWhenUsed/>
    <w:qFormat/>
    <w:uiPriority w:val="99"/>
    <w:pPr>
      <w:ind w:firstLine="420" w:firstLineChars="200"/>
    </w:pPr>
    <w:rPr>
      <w:rFonts w:ascii="宋体" w:hAnsi="宋体" w:cs="宋体"/>
      <w:kern w:val="2"/>
      <w:sz w:val="24"/>
      <w:szCs w:val="24"/>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unhideWhenUsed/>
    <w:qFormat/>
    <w:uiPriority w:val="0"/>
    <w:rPr>
      <w:rFonts w:cs="Times New Roman"/>
    </w:rPr>
  </w:style>
  <w:style w:type="character" w:styleId="13">
    <w:name w:val="Hyperlink"/>
    <w:unhideWhenUsed/>
    <w:qFormat/>
    <w:uiPriority w:val="99"/>
    <w:rPr>
      <w:color w:val="0563C1"/>
      <w:u w:val="single"/>
    </w:rPr>
  </w:style>
  <w:style w:type="character" w:customStyle="1" w:styleId="14">
    <w:name w:val="楷体 (中文) 楷体"/>
    <w:qFormat/>
    <w:uiPriority w:val="0"/>
    <w:rPr>
      <w:rFonts w:ascii="楷体" w:hAnsi="楷体" w:eastAsia="楷体"/>
      <w:kern w:val="1"/>
      <w:sz w:val="28"/>
    </w:rPr>
  </w:style>
  <w:style w:type="character" w:customStyle="1" w:styleId="15">
    <w:name w:val="样式 仿宋"/>
    <w:qFormat/>
    <w:uiPriority w:val="0"/>
    <w:rPr>
      <w:rFonts w:ascii="仿宋" w:hAnsi="仿宋" w:eastAsia="仿宋"/>
      <w:kern w:val="1"/>
    </w:rPr>
  </w:style>
  <w:style w:type="paragraph" w:customStyle="1" w:styleId="16">
    <w:name w:val="样式 仿宋 行距: 1.5 倍行距"/>
    <w:basedOn w:val="1"/>
    <w:qFormat/>
    <w:uiPriority w:val="0"/>
    <w:pPr>
      <w:spacing w:line="360" w:lineRule="auto"/>
    </w:pPr>
    <w:rPr>
      <w:rFonts w:ascii="仿宋" w:hAnsi="仿宋" w:eastAsia="仿宋" w:cs="宋体"/>
      <w:sz w:val="24"/>
      <w:szCs w:val="20"/>
    </w:rPr>
  </w:style>
  <w:style w:type="paragraph" w:customStyle="1" w:styleId="17">
    <w:name w:val="样式 宋体 四号 居中 行距: 1.5 倍行距"/>
    <w:basedOn w:val="1"/>
    <w:qFormat/>
    <w:uiPriority w:val="0"/>
    <w:pPr>
      <w:spacing w:line="360" w:lineRule="auto"/>
      <w:jc w:val="center"/>
    </w:pPr>
    <w:rPr>
      <w:rFonts w:ascii="宋体" w:hAnsi="Cambria" w:cs="宋体"/>
      <w:sz w:val="28"/>
      <w:szCs w:val="20"/>
    </w:rPr>
  </w:style>
  <w:style w:type="table" w:customStyle="1" w:styleId="18">
    <w:name w:val="Table Normal"/>
    <w:semiHidden/>
    <w:unhideWhenUsed/>
    <w:qFormat/>
    <w:uiPriority w:val="2"/>
    <w:pPr>
      <w:widowControl w:val="0"/>
    </w:pPr>
    <w:rPr>
      <w:sz w:val="22"/>
      <w:szCs w:val="22"/>
      <w:lang w:eastAsia="en-US"/>
    </w:rPr>
    <w:tblPr>
      <w:tblCellMar>
        <w:top w:w="0" w:type="dxa"/>
        <w:left w:w="0" w:type="dxa"/>
        <w:bottom w:w="0" w:type="dxa"/>
        <w:right w:w="0" w:type="dxa"/>
      </w:tblCellMar>
    </w:tblPr>
  </w:style>
  <w:style w:type="paragraph" w:customStyle="1" w:styleId="19">
    <w:name w:val="Table Paragraph"/>
    <w:basedOn w:val="1"/>
    <w:qFormat/>
    <w:uiPriority w:val="1"/>
    <w:pPr>
      <w:jc w:val="left"/>
    </w:pPr>
    <w:rPr>
      <w:rFonts w:asciiTheme="minorHAnsi" w:hAnsiTheme="minorHAnsi" w:eastAsiaTheme="minorEastAsia" w:cstheme="minorBidi"/>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10177</Words>
  <Characters>10834</Characters>
  <Lines>88</Lines>
  <Paragraphs>24</Paragraphs>
  <TotalTime>12</TotalTime>
  <ScaleCrop>false</ScaleCrop>
  <LinksUpToDate>false</LinksUpToDate>
  <CharactersWithSpaces>11446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2024-07-05T09:17:00Z</dcterms:created>
  <dc:creator>王世斌</dc:creator>
  <cp:lastModifiedBy>Administrator</cp:lastModifiedBy>
  <cp:lastPrinted>2024-09-27T02:18:00Z</cp:lastPrinted>
  <dcterms:modified xsi:type="dcterms:W3CDTF">2024-12-25T09:08:20Z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422D841C2C6741F1A4BFCD9956DE5410_13</vt:lpwstr>
  </property>
</Properties>
</file>