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E2A5B1">
      <w:pPr>
        <w:pBdr>
          <w:top w:val="none" w:color="000000" w:sz="0" w:space="7"/>
          <w:left w:val="none" w:color="000000" w:sz="0" w:space="0"/>
          <w:bottom w:val="none" w:color="000000" w:sz="0" w:space="0"/>
          <w:right w:val="none" w:color="000000" w:sz="0" w:space="0"/>
        </w:pBdr>
        <w:jc w:val="both"/>
        <w:rPr>
          <w:lang w:eastAsia="zh-CN"/>
        </w:rPr>
      </w:pPr>
      <w:bookmarkStart w:id="0" w:name="_GoBack"/>
      <w:r>
        <w:rPr>
          <w:rFonts w:ascii="黑体" w:hAnsi="黑体" w:eastAsia="黑体" w:cs="黑体"/>
          <w:color w:val="000000"/>
          <w:sz w:val="32"/>
          <w:lang w:eastAsia="zh-CN"/>
        </w:rPr>
        <w:t>附件</w:t>
      </w:r>
    </w:p>
    <w:p w14:paraId="1284EE47">
      <w:pPr>
        <w:pBdr>
          <w:top w:val="none" w:color="000000" w:sz="0" w:space="7"/>
          <w:left w:val="none" w:color="000000" w:sz="0" w:space="0"/>
          <w:bottom w:val="none" w:color="000000" w:sz="0" w:space="0"/>
          <w:right w:val="none" w:color="000000" w:sz="0" w:space="0"/>
        </w:pBdr>
        <w:spacing w:line="559" w:lineRule="atLeast"/>
        <w:jc w:val="center"/>
        <w:rPr>
          <w:lang w:eastAsia="zh-CN"/>
        </w:rPr>
      </w:pPr>
      <w:r>
        <w:rPr>
          <w:rFonts w:ascii="方正小标宋简体" w:hAnsi="方正小标宋简体" w:eastAsia="方正小标宋简体" w:cs="方正小标宋简体"/>
          <w:color w:val="000000"/>
          <w:sz w:val="44"/>
          <w:lang w:eastAsia="zh-CN"/>
        </w:rPr>
        <w:t>青岛市企业应急引导基金服务体系</w:t>
      </w:r>
    </w:p>
    <w:p w14:paraId="4A691BA7">
      <w:pPr>
        <w:pBdr>
          <w:top w:val="none" w:color="000000" w:sz="0" w:space="7"/>
          <w:left w:val="none" w:color="000000" w:sz="0" w:space="0"/>
          <w:bottom w:val="none" w:color="000000" w:sz="0" w:space="0"/>
          <w:right w:val="none" w:color="000000" w:sz="0" w:space="0"/>
        </w:pBdr>
        <w:spacing w:line="559" w:lineRule="atLeast"/>
        <w:jc w:val="center"/>
        <w:rPr>
          <w:lang w:eastAsia="zh-CN"/>
        </w:rPr>
      </w:pPr>
      <w:r>
        <w:rPr>
          <w:rFonts w:ascii="方正小标宋简体" w:hAnsi="方正小标宋简体" w:eastAsia="方正小标宋简体" w:cs="方正小标宋简体"/>
          <w:color w:val="000000"/>
          <w:sz w:val="44"/>
          <w:lang w:eastAsia="zh-CN"/>
        </w:rPr>
        <w:t>2024年第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lang w:val="en-US" w:eastAsia="zh-CN"/>
        </w:rPr>
        <w:t>六</w:t>
      </w:r>
      <w:r>
        <w:rPr>
          <w:rFonts w:ascii="方正小标宋简体" w:hAnsi="方正小标宋简体" w:eastAsia="方正小标宋简体" w:cs="方正小标宋简体"/>
          <w:color w:val="000000"/>
          <w:sz w:val="44"/>
          <w:lang w:eastAsia="zh-CN"/>
        </w:rPr>
        <w:t>批备案机构名单</w:t>
      </w:r>
    </w:p>
    <w:bookmarkEnd w:id="0"/>
    <w:p w14:paraId="5FE0F8F5">
      <w:pPr>
        <w:pBdr>
          <w:top w:val="none" w:color="000000" w:sz="0" w:space="7"/>
          <w:left w:val="none" w:color="000000" w:sz="0" w:space="0"/>
          <w:bottom w:val="none" w:color="000000" w:sz="0" w:space="0"/>
          <w:right w:val="none" w:color="000000" w:sz="0" w:space="0"/>
        </w:pBdr>
        <w:spacing w:line="559" w:lineRule="atLeast"/>
        <w:ind w:firstLine="640"/>
        <w:jc w:val="both"/>
        <w:rPr>
          <w:lang w:eastAsia="zh-CN"/>
        </w:rPr>
      </w:pPr>
      <w:r>
        <w:rPr>
          <w:rFonts w:ascii="仿宋_GB2312" w:hAnsi="仿宋_GB2312" w:eastAsia="仿宋_GB2312" w:cs="仿宋_GB2312"/>
          <w:color w:val="000000"/>
          <w:sz w:val="32"/>
          <w:lang w:eastAsia="zh-CN"/>
        </w:rPr>
        <w:t> </w:t>
      </w:r>
    </w:p>
    <w:p w14:paraId="363B3C89">
      <w:pPr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200" w:line="560" w:lineRule="exact"/>
        <w:ind w:firstLine="641"/>
        <w:jc w:val="left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（排名不分先后）</w:t>
      </w:r>
    </w:p>
    <w:p w14:paraId="77E720A4">
      <w:pPr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200" w:line="560" w:lineRule="exact"/>
        <w:ind w:firstLine="641"/>
        <w:jc w:val="left"/>
        <w:rPr>
          <w:rFonts w:hint="default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青岛高实致远产融投资有限公司</w:t>
      </w:r>
    </w:p>
    <w:p w14:paraId="7A8E04D9">
      <w:pPr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200" w:line="560" w:lineRule="exact"/>
        <w:ind w:firstLine="641"/>
        <w:jc w:val="left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青岛上控航泰投资服务有限公司</w:t>
      </w:r>
    </w:p>
    <w:p w14:paraId="498246AF">
      <w:pPr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200" w:line="560" w:lineRule="exact"/>
        <w:ind w:firstLine="641"/>
        <w:jc w:val="left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青岛建信民间资本管理有限公司</w:t>
      </w:r>
    </w:p>
    <w:p w14:paraId="21310674">
      <w:pPr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200" w:line="560" w:lineRule="exact"/>
        <w:ind w:firstLine="641"/>
        <w:jc w:val="left"/>
        <w:rPr>
          <w:rFonts w:hint="default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山东联投投资有限公司</w:t>
      </w:r>
    </w:p>
    <w:p w14:paraId="4A5315EC">
      <w:pPr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200" w:line="560" w:lineRule="exact"/>
        <w:ind w:firstLine="641"/>
        <w:jc w:val="left"/>
        <w:rPr>
          <w:rFonts w:hint="eastAsia" w:ascii="仿宋_GB2312" w:hAnsi="仿宋_GB2312" w:eastAsia="仿宋_GB2312" w:cs="仿宋_GB2312"/>
          <w:color w:val="000000"/>
          <w:sz w:val="32"/>
          <w:lang w:val="en-US" w:eastAsia="zh-Hans"/>
        </w:rPr>
      </w:pPr>
    </w:p>
    <w:p w14:paraId="7931B257"/>
    <w:sectPr>
      <w:pgSz w:w="11906" w:h="16838"/>
      <w:pgMar w:top="1134" w:right="850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B1019F0-3232-4F2D-B92E-AB018494024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C668DAB-319B-4374-B304-13A350CDD9C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F8BA0AB-1F62-4F6B-935F-5DD392851F2D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hNDRlMTBiMjA5MjYwZDI5OWM3OWFmODQxY2U4YmMifQ=="/>
  </w:docVars>
  <w:rsids>
    <w:rsidRoot w:val="00000000"/>
    <w:rsid w:val="6C57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hint="default" w:asciiTheme="minorHAnsi" w:hAnsiTheme="minorHAnsi" w:eastAsiaTheme="minorHAnsi" w:cstheme="minorBidi"/>
      <w:sz w:val="22"/>
      <w:szCs w:val="22"/>
      <w:lang w:val="zh-Han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2024-11-18T01:13:05Z</dcterms:created>
  <dc:creator>Admin</dc:creator>
  <cp:lastModifiedBy>林子</cp:lastModifiedBy>
  <dcterms:modified xsi:type="dcterms:W3CDTF">2024-11-18T01:13:12Z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6D70A291693D49559F99BD549E9B5D16_12</vt:lpwstr>
  </property>
</Properties>
</file>